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9121B6">
      <w:pPr>
        <w:pStyle w:val="4"/>
        <w:spacing w:after="100" w:line="415" w:lineRule="auto"/>
        <w:ind w:firstLine="803"/>
        <w:rPr>
          <w:sz w:val="40"/>
          <w:szCs w:val="40"/>
        </w:rPr>
      </w:pPr>
      <w:r>
        <w:rPr>
          <w:rFonts w:hint="eastAsia"/>
          <w:sz w:val="40"/>
          <w:szCs w:val="40"/>
        </w:rPr>
        <w:t>医疗收费电子票据技术服务项目参数</w:t>
      </w:r>
    </w:p>
    <w:p w14:paraId="5CC7341C">
      <w:pPr>
        <w:pStyle w:val="2"/>
        <w:spacing w:after="156" w:afterLines="50" w:line="500" w:lineRule="exact"/>
        <w:ind w:firstLine="0" w:firstLineChars="0"/>
        <w:jc w:val="both"/>
        <w:rPr>
          <w:rFonts w:hint="eastAsia" w:ascii="黑体" w:hAnsi="黑体" w:eastAsia="黑体" w:cs="黑体"/>
          <w:sz w:val="28"/>
          <w:szCs w:val="28"/>
        </w:rPr>
      </w:pPr>
      <w:r>
        <w:rPr>
          <w:rFonts w:hint="eastAsia" w:ascii="黑体" w:hAnsi="黑体" w:eastAsia="黑体" w:cs="黑体"/>
          <w:sz w:val="28"/>
          <w:szCs w:val="28"/>
        </w:rPr>
        <w:t>一、服务内容</w:t>
      </w:r>
    </w:p>
    <w:p w14:paraId="6126ECB6">
      <w:pPr>
        <w:ind w:firstLine="480"/>
        <w:rPr>
          <w:rFonts w:hint="eastAsia" w:ascii="仿宋" w:hAnsi="仿宋" w:eastAsia="仿宋"/>
          <w:szCs w:val="24"/>
        </w:rPr>
      </w:pPr>
      <w:r>
        <w:rPr>
          <w:rFonts w:hint="eastAsia" w:ascii="仿宋" w:hAnsi="仿宋" w:eastAsia="仿宋"/>
          <w:szCs w:val="24"/>
        </w:rPr>
        <w:t>1</w:t>
      </w:r>
      <w:r>
        <w:rPr>
          <w:rFonts w:hint="eastAsia" w:ascii="仿宋" w:hAnsi="仿宋" w:eastAsia="仿宋"/>
          <w:szCs w:val="24"/>
        </w:rPr>
        <w:tab/>
      </w:r>
      <w:r>
        <w:rPr>
          <w:rFonts w:hint="eastAsia" w:ascii="仿宋" w:hAnsi="仿宋" w:eastAsia="仿宋"/>
          <w:szCs w:val="24"/>
        </w:rPr>
        <w:t>.电子票据技术服务</w:t>
      </w:r>
      <w:r>
        <w:rPr>
          <w:rFonts w:hint="eastAsia" w:ascii="仿宋" w:hAnsi="仿宋" w:eastAsia="仿宋"/>
          <w:szCs w:val="24"/>
        </w:rPr>
        <w:tab/>
      </w:r>
      <w:r>
        <w:rPr>
          <w:rFonts w:hint="eastAsia" w:ascii="仿宋" w:hAnsi="仿宋" w:eastAsia="仿宋"/>
          <w:szCs w:val="24"/>
        </w:rPr>
        <w:t>提供日常医疗收费电子票据的申领、分发、开具、传输、查验、入账、存储归档等技术服务。提供7×24小时全方位技术支持，包括采用电话、即时通讯、远程终端、互联网远程登录等支持服务方式。</w:t>
      </w:r>
    </w:p>
    <w:p w14:paraId="2D53FA74">
      <w:pPr>
        <w:ind w:firstLine="480"/>
        <w:rPr>
          <w:rFonts w:hint="eastAsia" w:ascii="仿宋" w:hAnsi="仿宋" w:eastAsia="仿宋"/>
          <w:szCs w:val="24"/>
        </w:rPr>
      </w:pPr>
      <w:r>
        <w:rPr>
          <w:rFonts w:hint="eastAsia" w:ascii="仿宋" w:hAnsi="仿宋" w:eastAsia="仿宋"/>
          <w:szCs w:val="24"/>
        </w:rPr>
        <w:t>2.业务运维服务各调度任务运行情况、可用电子票数量预估等业务运营情况检查。</w:t>
      </w:r>
    </w:p>
    <w:p w14:paraId="09BC030B">
      <w:pPr>
        <w:ind w:firstLine="480"/>
        <w:rPr>
          <w:rFonts w:hint="eastAsia" w:ascii="仿宋" w:hAnsi="仿宋" w:eastAsia="仿宋"/>
          <w:szCs w:val="24"/>
        </w:rPr>
      </w:pPr>
      <w:r>
        <w:rPr>
          <w:rFonts w:hint="eastAsia" w:ascii="仿宋" w:hAnsi="仿宋" w:eastAsia="仿宋"/>
          <w:szCs w:val="24"/>
        </w:rPr>
        <w:t>3.升级更新服务</w:t>
      </w:r>
      <w:r>
        <w:rPr>
          <w:rFonts w:hint="eastAsia" w:ascii="仿宋" w:hAnsi="仿宋" w:eastAsia="仿宋"/>
          <w:szCs w:val="24"/>
        </w:rPr>
        <w:tab/>
      </w:r>
      <w:r>
        <w:rPr>
          <w:rFonts w:hint="eastAsia" w:ascii="仿宋" w:hAnsi="仿宋" w:eastAsia="仿宋"/>
          <w:szCs w:val="24"/>
        </w:rPr>
        <w:t>针对软件产品新版本升级以及补丁安装服务，升级内容包括解决BUG、采纳用户建议以及业务需求调整实现的功能和其他内容。</w:t>
      </w:r>
    </w:p>
    <w:p w14:paraId="0CCD7ABE">
      <w:pPr>
        <w:ind w:firstLine="480"/>
        <w:rPr>
          <w:rFonts w:hint="eastAsia" w:ascii="仿宋" w:hAnsi="仿宋" w:eastAsia="仿宋"/>
          <w:szCs w:val="24"/>
        </w:rPr>
      </w:pPr>
      <w:r>
        <w:rPr>
          <w:rFonts w:hint="eastAsia" w:ascii="仿宋" w:hAnsi="仿宋" w:eastAsia="仿宋"/>
          <w:szCs w:val="24"/>
        </w:rPr>
        <w:t>4.优化服务系统运营过程中发现的问题，包括业务逻辑、支付渠道扩展等，即时进行系统的优化升级；另一方面系统自身业务不断的完善优化，以便更好的服务客户。</w:t>
      </w:r>
    </w:p>
    <w:p w14:paraId="41EA71E9">
      <w:pPr>
        <w:ind w:firstLine="480"/>
        <w:rPr>
          <w:rFonts w:hint="eastAsia" w:ascii="仿宋" w:hAnsi="仿宋" w:eastAsia="仿宋"/>
          <w:szCs w:val="24"/>
        </w:rPr>
      </w:pPr>
      <w:r>
        <w:rPr>
          <w:rFonts w:hint="eastAsia" w:ascii="仿宋" w:hAnsi="仿宋" w:eastAsia="仿宋"/>
          <w:szCs w:val="24"/>
        </w:rPr>
        <w:t>5.技术对账服务对异常对账数据进行人工审核，增加业务校对对账，关键节点的数据核对等辅助工作。</w:t>
      </w:r>
    </w:p>
    <w:p w14:paraId="5A20DBE6">
      <w:pPr>
        <w:ind w:firstLine="480"/>
        <w:rPr>
          <w:rFonts w:hint="eastAsia" w:ascii="仿宋" w:hAnsi="仿宋" w:eastAsia="仿宋"/>
          <w:szCs w:val="24"/>
        </w:rPr>
      </w:pPr>
      <w:r>
        <w:rPr>
          <w:rFonts w:hint="eastAsia" w:ascii="仿宋" w:hAnsi="仿宋" w:eastAsia="仿宋"/>
          <w:szCs w:val="24"/>
        </w:rPr>
        <w:t>6.协同应用诊断服务提供医疗机构HIS接口交互方面问题排查，日志跟踪及反馈服务，保障业务系统间协同应用高效办理。</w:t>
      </w:r>
    </w:p>
    <w:p w14:paraId="39A0E1BE">
      <w:pPr>
        <w:ind w:firstLine="480"/>
        <w:rPr>
          <w:rFonts w:hint="eastAsia" w:ascii="仿宋" w:hAnsi="仿宋" w:eastAsia="仿宋"/>
          <w:szCs w:val="24"/>
        </w:rPr>
      </w:pPr>
      <w:r>
        <w:rPr>
          <w:rFonts w:hint="eastAsia" w:ascii="仿宋" w:hAnsi="仿宋" w:eastAsia="仿宋"/>
          <w:szCs w:val="24"/>
        </w:rPr>
        <w:t>7.咨询指导服务</w:t>
      </w:r>
      <w:r>
        <w:rPr>
          <w:rFonts w:hint="eastAsia" w:ascii="仿宋" w:hAnsi="仿宋" w:eastAsia="仿宋"/>
          <w:szCs w:val="24"/>
        </w:rPr>
        <w:tab/>
      </w:r>
      <w:r>
        <w:rPr>
          <w:rFonts w:hint="eastAsia" w:ascii="仿宋" w:hAnsi="仿宋" w:eastAsia="仿宋"/>
          <w:szCs w:val="24"/>
        </w:rPr>
        <w:t>提供电子票据系统应用过程中的操作指导，问题答疑，问题处理及软件业务处理办法的咨询，提升用户软件应用能力。</w:t>
      </w:r>
    </w:p>
    <w:p w14:paraId="6C011208">
      <w:pPr>
        <w:ind w:firstLine="480"/>
        <w:rPr>
          <w:rFonts w:hint="eastAsia" w:ascii="仿宋" w:hAnsi="仿宋" w:eastAsia="仿宋"/>
          <w:szCs w:val="24"/>
        </w:rPr>
      </w:pPr>
      <w:r>
        <w:rPr>
          <w:rFonts w:hint="eastAsia" w:ascii="仿宋" w:hAnsi="仿宋" w:eastAsia="仿宋"/>
          <w:szCs w:val="24"/>
        </w:rPr>
        <w:t>8.应急响应及问题处理服务24小时应急响应，因系统服务异常导致业务中断，需要支持人员能够随时响应，尽可能短时间内恢复的问题，按照紧急问题处理流程来进行处理。</w:t>
      </w:r>
    </w:p>
    <w:p w14:paraId="103D294D">
      <w:pPr>
        <w:ind w:firstLine="480"/>
        <w:rPr>
          <w:rFonts w:hint="eastAsia" w:ascii="仿宋" w:hAnsi="仿宋" w:eastAsia="仿宋"/>
          <w:szCs w:val="24"/>
        </w:rPr>
      </w:pPr>
      <w:r>
        <w:rPr>
          <w:rFonts w:hint="eastAsia" w:ascii="仿宋" w:hAnsi="仿宋" w:eastAsia="仿宋"/>
          <w:szCs w:val="24"/>
        </w:rPr>
        <w:t>9.复杂问题数据修复服务由于人为操作失误或恶意破坏等情况造成数据错误，提供数据修复相关解决方案。</w:t>
      </w:r>
    </w:p>
    <w:p w14:paraId="156628AC">
      <w:pPr>
        <w:ind w:firstLine="480"/>
        <w:rPr>
          <w:rFonts w:hint="eastAsia" w:ascii="仿宋" w:hAnsi="仿宋" w:eastAsia="仿宋"/>
          <w:szCs w:val="24"/>
        </w:rPr>
      </w:pPr>
      <w:r>
        <w:rPr>
          <w:rFonts w:hint="eastAsia" w:ascii="仿宋" w:hAnsi="仿宋" w:eastAsia="仿宋"/>
          <w:szCs w:val="24"/>
        </w:rPr>
        <w:t>10.下载服务提供互助平台，可查询、下载相关学习资料、常见问题及解决技巧等知识，提高系统、协同应用能力。</w:t>
      </w:r>
    </w:p>
    <w:p w14:paraId="0B330B16">
      <w:pPr>
        <w:ind w:firstLine="480"/>
        <w:rPr>
          <w:rFonts w:hint="eastAsia" w:ascii="仿宋" w:hAnsi="仿宋" w:eastAsia="仿宋"/>
          <w:szCs w:val="24"/>
        </w:rPr>
      </w:pPr>
      <w:r>
        <w:rPr>
          <w:rFonts w:hint="eastAsia" w:ascii="仿宋" w:hAnsi="仿宋" w:eastAsia="仿宋"/>
          <w:szCs w:val="24"/>
        </w:rPr>
        <w:t>11.回访服务客服人员主动提供当前系统应用及使用情况，问题及需求回访记录服务。</w:t>
      </w:r>
    </w:p>
    <w:p w14:paraId="403D044B">
      <w:pPr>
        <w:ind w:firstLine="480"/>
        <w:rPr>
          <w:rFonts w:hint="eastAsia" w:ascii="仿宋" w:hAnsi="仿宋" w:eastAsia="仿宋"/>
          <w:szCs w:val="24"/>
        </w:rPr>
      </w:pPr>
      <w:r>
        <w:rPr>
          <w:rFonts w:hint="eastAsia" w:ascii="仿宋" w:hAnsi="仿宋" w:eastAsia="仿宋"/>
          <w:szCs w:val="24"/>
        </w:rPr>
        <w:t>12.年结服务提供系统新年度的创建及初始化，电子票据年结，新年度票据模板维护等服务。</w:t>
      </w:r>
    </w:p>
    <w:p w14:paraId="7FDA9135">
      <w:pPr>
        <w:ind w:firstLine="480"/>
        <w:rPr>
          <w:rFonts w:hint="eastAsia" w:ascii="仿宋" w:hAnsi="仿宋" w:eastAsia="仿宋"/>
          <w:szCs w:val="24"/>
        </w:rPr>
      </w:pPr>
      <w:r>
        <w:rPr>
          <w:rFonts w:hint="eastAsia" w:ascii="仿宋" w:hAnsi="仿宋" w:eastAsia="仿宋"/>
          <w:szCs w:val="24"/>
        </w:rPr>
        <w:t>13.安全保障服务安全漏洞补丁升级，主要是针对操作系统、数据库、中间件的安全漏洞补丁升级，保障系统运行环境。</w:t>
      </w:r>
    </w:p>
    <w:p w14:paraId="7F019A1B">
      <w:pPr>
        <w:ind w:firstLine="480"/>
        <w:rPr>
          <w:rFonts w:hint="eastAsia" w:ascii="仿宋" w:hAnsi="仿宋" w:eastAsia="仿宋"/>
          <w:szCs w:val="24"/>
        </w:rPr>
      </w:pPr>
      <w:r>
        <w:rPr>
          <w:rFonts w:hint="eastAsia" w:ascii="仿宋" w:hAnsi="仿宋" w:eastAsia="仿宋"/>
          <w:szCs w:val="24"/>
        </w:rPr>
        <w:t>14.巡检服务由专业技术服务人员定期为客户进行云托管系统的巡检工作，含硬件性能、数据库空间、系统生产性能、备份机制、系统常用流程设置情况、并根据实际情况调优。</w:t>
      </w:r>
    </w:p>
    <w:p w14:paraId="7B8207C0">
      <w:pPr>
        <w:ind w:firstLine="480"/>
        <w:rPr>
          <w:rFonts w:hint="eastAsia" w:ascii="仿宋" w:hAnsi="仿宋" w:eastAsia="仿宋"/>
          <w:szCs w:val="24"/>
        </w:rPr>
      </w:pPr>
      <w:r>
        <w:rPr>
          <w:rFonts w:hint="eastAsia" w:ascii="仿宋" w:hAnsi="仿宋" w:eastAsia="仿宋"/>
          <w:szCs w:val="24"/>
        </w:rPr>
        <w:t>15.培训服务票据日常业务培训，对单位经办人员在系统中进行票据管理类业务操作指导；系统设置相关操作指导，单位系统日常使用中的其他问题等问题讲解。</w:t>
      </w:r>
    </w:p>
    <w:p w14:paraId="4F69ED3E">
      <w:pPr>
        <w:spacing w:line="500" w:lineRule="exact"/>
        <w:ind w:firstLine="560"/>
        <w:rPr>
          <w:rFonts w:hint="eastAsia" w:ascii="黑体" w:hAnsi="黑体" w:eastAsia="黑体"/>
          <w:sz w:val="28"/>
          <w:szCs w:val="28"/>
        </w:rPr>
      </w:pPr>
      <w:r>
        <w:rPr>
          <w:rFonts w:hint="eastAsia" w:ascii="黑体" w:hAnsi="黑体" w:eastAsia="黑体"/>
          <w:sz w:val="28"/>
          <w:szCs w:val="28"/>
        </w:rPr>
        <w:t>二</w:t>
      </w:r>
      <w:r>
        <w:rPr>
          <w:rFonts w:ascii="黑体" w:hAnsi="黑体" w:eastAsia="黑体"/>
          <w:sz w:val="28"/>
          <w:szCs w:val="28"/>
        </w:rPr>
        <w:t>、服务要求</w:t>
      </w:r>
    </w:p>
    <w:p w14:paraId="5D253B72">
      <w:pPr>
        <w:spacing w:line="500" w:lineRule="exact"/>
        <w:ind w:firstLine="482"/>
        <w:rPr>
          <w:rFonts w:ascii="仿宋" w:hAnsi="仿宋" w:eastAsia="仿宋"/>
          <w:b/>
          <w:bCs/>
          <w:szCs w:val="24"/>
        </w:rPr>
      </w:pPr>
      <w:r>
        <w:rPr>
          <w:rFonts w:ascii="仿宋" w:hAnsi="仿宋" w:eastAsia="仿宋"/>
          <w:b/>
          <w:bCs/>
          <w:szCs w:val="24"/>
        </w:rPr>
        <w:t>（一）服务渠道及响应时间</w:t>
      </w:r>
    </w:p>
    <w:p w14:paraId="1B181C2D">
      <w:pPr>
        <w:widowControl w:val="0"/>
        <w:tabs>
          <w:tab w:val="left" w:pos="720"/>
        </w:tabs>
        <w:autoSpaceDE/>
        <w:autoSpaceDN/>
        <w:adjustRightInd/>
        <w:snapToGrid/>
        <w:spacing w:line="500" w:lineRule="exact"/>
        <w:ind w:firstLine="482"/>
        <w:jc w:val="both"/>
        <w:textAlignment w:val="auto"/>
        <w:rPr>
          <w:rFonts w:hint="eastAsia" w:ascii="仿宋" w:hAnsi="仿宋" w:eastAsia="仿宋"/>
          <w:szCs w:val="24"/>
        </w:rPr>
      </w:pPr>
      <w:r>
        <w:rPr>
          <w:rFonts w:hint="eastAsia" w:ascii="仿宋" w:hAnsi="仿宋" w:eastAsia="仿宋"/>
          <w:b/>
          <w:bCs/>
          <w:szCs w:val="24"/>
          <w:lang w:val="en-US" w:eastAsia="zh-CN"/>
        </w:rPr>
        <w:t>1</w:t>
      </w:r>
      <w:r>
        <w:rPr>
          <w:rFonts w:hint="eastAsia" w:ascii="仿宋" w:hAnsi="仿宋" w:eastAsia="仿宋"/>
          <w:b/>
          <w:bCs/>
          <w:szCs w:val="24"/>
        </w:rPr>
        <w:t>.</w:t>
      </w:r>
      <w:r>
        <w:rPr>
          <w:rFonts w:ascii="仿宋" w:hAnsi="仿宋" w:eastAsia="仿宋"/>
          <w:b/>
          <w:bCs/>
          <w:szCs w:val="24"/>
        </w:rPr>
        <w:t>软件故障类问题</w:t>
      </w:r>
      <w:r>
        <w:rPr>
          <w:rFonts w:ascii="仿宋" w:hAnsi="仿宋" w:eastAsia="仿宋"/>
          <w:szCs w:val="24"/>
        </w:rPr>
        <w:t>：对于软件出错、系统BUG、数据错误、第三方接口错误、运行速度异常等问题，收到报障后需在1小时内响应并处理。</w:t>
      </w:r>
    </w:p>
    <w:p w14:paraId="00BD574B">
      <w:pPr>
        <w:widowControl w:val="0"/>
        <w:tabs>
          <w:tab w:val="left" w:pos="720"/>
        </w:tabs>
        <w:autoSpaceDE/>
        <w:autoSpaceDN/>
        <w:adjustRightInd/>
        <w:snapToGrid/>
        <w:spacing w:line="500" w:lineRule="exact"/>
        <w:ind w:firstLine="482"/>
        <w:jc w:val="both"/>
        <w:textAlignment w:val="auto"/>
        <w:rPr>
          <w:rFonts w:hint="eastAsia" w:ascii="仿宋" w:hAnsi="仿宋" w:eastAsia="仿宋"/>
          <w:szCs w:val="24"/>
          <w:lang w:val="en-US" w:eastAsia="zh-CN"/>
        </w:rPr>
      </w:pPr>
      <w:r>
        <w:rPr>
          <w:rFonts w:hint="eastAsia" w:ascii="仿宋" w:hAnsi="仿宋" w:eastAsia="仿宋"/>
          <w:b/>
          <w:bCs/>
          <w:szCs w:val="24"/>
          <w:lang w:val="en-US" w:eastAsia="zh-CN"/>
        </w:rPr>
        <w:t>2</w:t>
      </w:r>
      <w:r>
        <w:rPr>
          <w:rFonts w:hint="eastAsia" w:ascii="仿宋" w:hAnsi="仿宋" w:eastAsia="仿宋"/>
          <w:b/>
          <w:bCs/>
          <w:szCs w:val="24"/>
        </w:rPr>
        <w:t>.</w:t>
      </w:r>
      <w:r>
        <w:rPr>
          <w:rFonts w:ascii="仿宋" w:hAnsi="仿宋" w:eastAsia="仿宋"/>
          <w:b/>
          <w:bCs/>
          <w:szCs w:val="24"/>
        </w:rPr>
        <w:t>应急类故障问题</w:t>
      </w:r>
      <w:r>
        <w:rPr>
          <w:rFonts w:ascii="仿宋" w:hAnsi="仿宋" w:eastAsia="仿宋"/>
          <w:szCs w:val="24"/>
        </w:rPr>
        <w:t>：如数据库故障等系统灾难直接影响系统正常运行的问题，通过远程等方式无法解决时，2小时内派出工程师前往现场协助解决</w:t>
      </w:r>
      <w:r>
        <w:rPr>
          <w:rFonts w:hint="eastAsia" w:ascii="仿宋" w:hAnsi="仿宋" w:eastAsia="仿宋"/>
          <w:szCs w:val="24"/>
          <w:lang w:eastAsia="zh-CN"/>
        </w:rPr>
        <w:t>。</w:t>
      </w:r>
    </w:p>
    <w:p w14:paraId="71329112">
      <w:pPr>
        <w:spacing w:line="500" w:lineRule="exact"/>
        <w:ind w:firstLine="482"/>
        <w:rPr>
          <w:rFonts w:hint="eastAsia" w:ascii="仿宋" w:hAnsi="仿宋" w:eastAsia="仿宋"/>
          <w:b/>
          <w:bCs/>
          <w:szCs w:val="24"/>
        </w:rPr>
      </w:pPr>
      <w:r>
        <w:rPr>
          <w:rFonts w:ascii="仿宋" w:hAnsi="仿宋" w:eastAsia="仿宋"/>
          <w:b/>
          <w:bCs/>
          <w:szCs w:val="24"/>
        </w:rPr>
        <w:t>（二）培训要求</w:t>
      </w:r>
    </w:p>
    <w:p w14:paraId="3BF441EC">
      <w:pPr>
        <w:widowControl w:val="0"/>
        <w:numPr>
          <w:ilvl w:val="0"/>
          <w:numId w:val="1"/>
        </w:numPr>
        <w:autoSpaceDE/>
        <w:autoSpaceDN/>
        <w:adjustRightInd/>
        <w:snapToGrid/>
        <w:ind w:left="0" w:firstLine="482"/>
        <w:jc w:val="both"/>
        <w:textAlignment w:val="auto"/>
        <w:rPr>
          <w:rFonts w:hint="eastAsia" w:ascii="仿宋" w:hAnsi="仿宋" w:eastAsia="仿宋"/>
          <w:szCs w:val="24"/>
        </w:rPr>
      </w:pPr>
      <w:r>
        <w:rPr>
          <w:rFonts w:ascii="仿宋" w:hAnsi="仿宋" w:eastAsia="仿宋"/>
          <w:b/>
          <w:bCs/>
          <w:szCs w:val="24"/>
        </w:rPr>
        <w:t>岗前培训</w:t>
      </w:r>
      <w:r>
        <w:rPr>
          <w:rFonts w:ascii="仿宋" w:hAnsi="仿宋" w:eastAsia="仿宋"/>
          <w:szCs w:val="24"/>
        </w:rPr>
        <w:t>：根据医院要求，服务商对</w:t>
      </w:r>
      <w:r>
        <w:rPr>
          <w:rFonts w:hint="eastAsia" w:ascii="仿宋" w:hAnsi="仿宋" w:eastAsia="仿宋"/>
          <w:szCs w:val="24"/>
        </w:rPr>
        <w:t>医院员工</w:t>
      </w:r>
      <w:r>
        <w:rPr>
          <w:rFonts w:ascii="仿宋" w:hAnsi="仿宋" w:eastAsia="仿宋"/>
          <w:szCs w:val="24"/>
        </w:rPr>
        <w:t>进行岗前的系统操作培训，并提供操作说明书。</w:t>
      </w:r>
    </w:p>
    <w:p w14:paraId="2491C13E">
      <w:pPr>
        <w:widowControl w:val="0"/>
        <w:numPr>
          <w:ilvl w:val="0"/>
          <w:numId w:val="1"/>
        </w:numPr>
        <w:autoSpaceDE/>
        <w:autoSpaceDN/>
        <w:adjustRightInd/>
        <w:snapToGrid/>
        <w:ind w:left="0" w:firstLine="482"/>
        <w:jc w:val="both"/>
        <w:textAlignment w:val="auto"/>
        <w:rPr>
          <w:rFonts w:hint="eastAsia" w:ascii="仿宋" w:hAnsi="仿宋" w:eastAsia="仿宋"/>
          <w:szCs w:val="24"/>
        </w:rPr>
      </w:pPr>
      <w:r>
        <w:rPr>
          <w:rFonts w:ascii="仿宋" w:hAnsi="仿宋" w:eastAsia="仿宋"/>
          <w:b/>
          <w:bCs/>
          <w:szCs w:val="24"/>
        </w:rPr>
        <w:t>系统维护培训</w:t>
      </w:r>
      <w:r>
        <w:rPr>
          <w:rFonts w:ascii="仿宋" w:hAnsi="仿宋" w:eastAsia="仿宋"/>
          <w:szCs w:val="24"/>
        </w:rPr>
        <w:t>：服务商提供系统维</w:t>
      </w:r>
      <w:bookmarkStart w:id="0" w:name="_GoBack"/>
      <w:bookmarkEnd w:id="0"/>
      <w:r>
        <w:rPr>
          <w:rFonts w:ascii="仿宋" w:hAnsi="仿宋" w:eastAsia="仿宋"/>
          <w:szCs w:val="24"/>
        </w:rPr>
        <w:t>护培训服务，包括医院岗位调动、系统维护人员上岗前的培训、客户端安装、系统配置等。</w:t>
      </w:r>
    </w:p>
    <w:p w14:paraId="06AF3E72">
      <w:pPr>
        <w:ind w:firstLine="482"/>
        <w:rPr>
          <w:rFonts w:hint="eastAsia" w:ascii="仿宋" w:hAnsi="仿宋" w:eastAsia="仿宋"/>
          <w:b/>
          <w:bCs/>
          <w:szCs w:val="24"/>
        </w:rPr>
      </w:pPr>
      <w:r>
        <w:rPr>
          <w:rFonts w:ascii="仿宋" w:hAnsi="仿宋" w:eastAsia="仿宋"/>
          <w:b/>
          <w:bCs/>
          <w:szCs w:val="24"/>
        </w:rPr>
        <w:t>（三）现场巡检服务</w:t>
      </w:r>
    </w:p>
    <w:p w14:paraId="0BFB4381">
      <w:pPr>
        <w:ind w:firstLine="480"/>
        <w:rPr>
          <w:rFonts w:hint="eastAsia" w:ascii="仿宋" w:hAnsi="仿宋" w:eastAsia="仿宋"/>
          <w:szCs w:val="24"/>
        </w:rPr>
      </w:pPr>
      <w:r>
        <w:rPr>
          <w:rFonts w:hint="eastAsia" w:ascii="仿宋" w:hAnsi="仿宋" w:eastAsia="仿宋"/>
          <w:szCs w:val="24"/>
        </w:rPr>
        <w:t>应至少每年</w:t>
      </w:r>
      <w:r>
        <w:rPr>
          <w:rFonts w:ascii="仿宋" w:hAnsi="仿宋" w:eastAsia="仿宋"/>
          <w:szCs w:val="24"/>
        </w:rPr>
        <w:t>2次现场对系统进行现场巡检和检查，与医院系统负责人沟通后提供常见问题的解决办法，巡检结束后给医院提供巡检报告。</w:t>
      </w:r>
    </w:p>
    <w:p w14:paraId="2854473C">
      <w:pPr>
        <w:ind w:firstLine="482"/>
        <w:rPr>
          <w:rFonts w:hint="eastAsia" w:ascii="仿宋" w:hAnsi="仿宋" w:eastAsia="仿宋"/>
          <w:b/>
          <w:bCs/>
          <w:szCs w:val="24"/>
        </w:rPr>
      </w:pPr>
      <w:r>
        <w:rPr>
          <w:rFonts w:ascii="仿宋" w:hAnsi="仿宋" w:eastAsia="仿宋"/>
          <w:b/>
          <w:bCs/>
          <w:szCs w:val="24"/>
        </w:rPr>
        <w:t>（</w:t>
      </w:r>
      <w:r>
        <w:rPr>
          <w:rFonts w:hint="eastAsia" w:ascii="仿宋" w:hAnsi="仿宋" w:eastAsia="仿宋"/>
          <w:b/>
          <w:bCs/>
          <w:szCs w:val="24"/>
          <w:lang w:val="en-US" w:eastAsia="zh-CN"/>
        </w:rPr>
        <w:t>四</w:t>
      </w:r>
      <w:r>
        <w:rPr>
          <w:rFonts w:ascii="仿宋" w:hAnsi="仿宋" w:eastAsia="仿宋"/>
          <w:b/>
          <w:bCs/>
          <w:szCs w:val="24"/>
        </w:rPr>
        <w:t>）安全要求</w:t>
      </w:r>
    </w:p>
    <w:p w14:paraId="443D92C0">
      <w:pPr>
        <w:ind w:firstLine="480"/>
        <w:rPr>
          <w:rFonts w:hint="eastAsia" w:ascii="仿宋" w:hAnsi="仿宋" w:eastAsia="仿宋"/>
          <w:szCs w:val="24"/>
        </w:rPr>
      </w:pPr>
      <w:r>
        <w:rPr>
          <w:rFonts w:ascii="仿宋" w:hAnsi="仿宋" w:eastAsia="仿宋"/>
          <w:szCs w:val="24"/>
        </w:rPr>
        <w:t>服务期内配合医院定期开展网络安全自查，自查内容至少包括系统日常运行情况、系统漏洞等；配合医院定期进行安全审计，审计内容至少包括系统账号、权限、操作行为和安全技术措施有效性等，及时发现和处理信息系统运行过程中的安全隐患，避免网络安全事件的发生。</w:t>
      </w:r>
    </w:p>
    <w:p w14:paraId="0933B44F">
      <w:pPr>
        <w:ind w:firstLine="560"/>
        <w:rPr>
          <w:rFonts w:hint="eastAsia" w:ascii="黑体" w:hAnsi="黑体" w:eastAsia="黑体"/>
          <w:sz w:val="28"/>
          <w:szCs w:val="28"/>
        </w:rPr>
      </w:pPr>
      <w:r>
        <w:rPr>
          <w:rFonts w:hint="eastAsia" w:ascii="黑体" w:hAnsi="黑体" w:eastAsia="黑体"/>
          <w:sz w:val="28"/>
          <w:szCs w:val="28"/>
        </w:rPr>
        <w:t>三</w:t>
      </w:r>
      <w:r>
        <w:rPr>
          <w:rFonts w:ascii="黑体" w:hAnsi="黑体" w:eastAsia="黑体"/>
          <w:sz w:val="28"/>
          <w:szCs w:val="28"/>
        </w:rPr>
        <w:t>、其他要求</w:t>
      </w:r>
    </w:p>
    <w:p w14:paraId="1F98E509">
      <w:pPr>
        <w:widowControl w:val="0"/>
        <w:numPr>
          <w:ilvl w:val="0"/>
          <w:numId w:val="2"/>
        </w:numPr>
        <w:autoSpaceDE/>
        <w:autoSpaceDN/>
        <w:adjustRightInd/>
        <w:snapToGrid/>
        <w:ind w:left="0" w:firstLine="482"/>
        <w:jc w:val="both"/>
        <w:textAlignment w:val="auto"/>
        <w:rPr>
          <w:rFonts w:hint="eastAsia" w:ascii="仿宋" w:hAnsi="仿宋" w:eastAsia="仿宋"/>
          <w:szCs w:val="24"/>
        </w:rPr>
      </w:pPr>
      <w:r>
        <w:rPr>
          <w:rFonts w:ascii="仿宋" w:hAnsi="仿宋" w:eastAsia="仿宋"/>
          <w:b/>
          <w:bCs/>
          <w:szCs w:val="24"/>
        </w:rPr>
        <w:t>数据安全与隐私保护</w:t>
      </w:r>
      <w:r>
        <w:rPr>
          <w:rFonts w:ascii="仿宋" w:hAnsi="仿宋" w:eastAsia="仿宋"/>
          <w:szCs w:val="24"/>
        </w:rPr>
        <w:t>：服务商需确保数据传输和存储过程中的数据安全与隐私保护，符合相关法律法规的要求。对患者个人信息、治疗记录等敏感信息采取加密处理，防止数据泄露、篡改等安全事件发生。</w:t>
      </w:r>
    </w:p>
    <w:p w14:paraId="479755CC">
      <w:pPr>
        <w:widowControl w:val="0"/>
        <w:numPr>
          <w:ilvl w:val="0"/>
          <w:numId w:val="2"/>
        </w:numPr>
        <w:autoSpaceDE/>
        <w:autoSpaceDN/>
        <w:adjustRightInd/>
        <w:snapToGrid/>
        <w:ind w:left="0" w:firstLine="482"/>
        <w:jc w:val="both"/>
        <w:textAlignment w:val="auto"/>
        <w:rPr>
          <w:rFonts w:hint="eastAsia" w:ascii="仿宋" w:hAnsi="仿宋" w:eastAsia="仿宋"/>
          <w:szCs w:val="24"/>
        </w:rPr>
      </w:pPr>
      <w:r>
        <w:rPr>
          <w:rFonts w:ascii="仿宋" w:hAnsi="仿宋" w:eastAsia="仿宋"/>
          <w:b/>
          <w:bCs/>
          <w:szCs w:val="24"/>
        </w:rPr>
        <w:t>服务报告提交</w:t>
      </w:r>
      <w:r>
        <w:rPr>
          <w:rFonts w:ascii="仿宋" w:hAnsi="仿宋" w:eastAsia="仿宋"/>
          <w:szCs w:val="24"/>
        </w:rPr>
        <w:t>：服务商每季度向医院提交服务报告，内容包括系统运行情况、故障处理情况、维护工作内容、巡检报告等，确保医院及时了解系统运行状态和服务执行情况。</w:t>
      </w:r>
    </w:p>
    <w:p w14:paraId="13C3508C">
      <w:pPr>
        <w:ind w:firstLine="480"/>
        <w:rPr>
          <w:rFonts w:hint="eastAsia" w:ascii="仿宋" w:hAnsi="仿宋" w:eastAsia="仿宋"/>
          <w:szCs w:val="24"/>
        </w:rPr>
      </w:pPr>
    </w:p>
    <w:p w14:paraId="62237330">
      <w:pPr>
        <w:ind w:firstLine="640"/>
        <w:rPr>
          <w:rFonts w:hint="eastAsia" w:ascii="方正仿宋_GB2312" w:hAnsi="方正仿宋_GB2312" w:eastAsia="方正仿宋_GB2312" w:cs="方正仿宋_GB2312"/>
          <w:sz w:val="32"/>
          <w:szCs w:val="32"/>
        </w:rPr>
      </w:pPr>
    </w:p>
    <w:sectPr>
      <w:footerReference r:id="rId5"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C5395548-A5E6-463C-8C9F-6F41708652FC}"/>
  </w:font>
  <w:font w:name="宋体">
    <w:panose1 w:val="02010600030101010101"/>
    <w:charset w:val="86"/>
    <w:family w:val="auto"/>
    <w:pitch w:val="default"/>
    <w:sig w:usb0="00000203" w:usb1="288F0000" w:usb2="00000006" w:usb3="00000000" w:csb0="00040001" w:csb1="00000000"/>
    <w:embedRegular r:id="rId2" w:fontKey="{C0A6B0C9-B717-46BD-AD14-F658E0283242}"/>
  </w:font>
  <w:font w:name="Wingdings">
    <w:panose1 w:val="05000000000000000000"/>
    <w:charset w:val="02"/>
    <w:family w:val="auto"/>
    <w:pitch w:val="default"/>
    <w:sig w:usb0="00000000" w:usb1="00000000" w:usb2="00000000" w:usb3="00000000" w:csb0="80000000" w:csb1="00000000"/>
    <w:embedRegular r:id="rId3" w:fontKey="{3DEB0E4B-9B01-4FC5-B027-78A10947292D}"/>
  </w:font>
  <w:font w:name="Arial">
    <w:panose1 w:val="020B0604020202020204"/>
    <w:charset w:val="01"/>
    <w:family w:val="swiss"/>
    <w:pitch w:val="default"/>
    <w:sig w:usb0="E0002EFF" w:usb1="C000785B" w:usb2="00000009" w:usb3="00000000" w:csb0="400001FF" w:csb1="FFFF0000"/>
    <w:embedRegular r:id="rId4" w:fontKey="{FC8D302B-0C04-454E-83B5-006F7D6070A6}"/>
  </w:font>
  <w:font w:name="黑体">
    <w:panose1 w:val="02010609060101010101"/>
    <w:charset w:val="86"/>
    <w:family w:val="auto"/>
    <w:pitch w:val="default"/>
    <w:sig w:usb0="800002BF" w:usb1="38CF7CFA" w:usb2="00000016" w:usb3="00000000" w:csb0="00040001" w:csb1="00000000"/>
    <w:embedRegular r:id="rId5" w:fontKey="{077EE1A3-2EC3-4308-86E0-CA3B1F06EF08}"/>
  </w:font>
  <w:font w:name="Courier New">
    <w:panose1 w:val="02070309020205020404"/>
    <w:charset w:val="01"/>
    <w:family w:val="modern"/>
    <w:pitch w:val="default"/>
    <w:sig w:usb0="E0002EFF" w:usb1="C0007843" w:usb2="00000009" w:usb3="00000000" w:csb0="400001FF" w:csb1="FFFF0000"/>
    <w:embedRegular r:id="rId6" w:fontKey="{7A2411D8-A1C3-4DCC-A097-4833D9D236DE}"/>
  </w:font>
  <w:font w:name="Symbol">
    <w:panose1 w:val="05050102010706020507"/>
    <w:charset w:val="02"/>
    <w:family w:val="roman"/>
    <w:pitch w:val="default"/>
    <w:sig w:usb0="00000000" w:usb1="00000000" w:usb2="00000000" w:usb3="00000000" w:csb0="80000000" w:csb1="00000000"/>
    <w:embedRegular r:id="rId7" w:fontKey="{592F11CB-74FF-46CD-8492-6A323DE49F61}"/>
  </w:font>
  <w:font w:name="Calibri">
    <w:panose1 w:val="020F0502020204030204"/>
    <w:charset w:val="00"/>
    <w:family w:val="swiss"/>
    <w:pitch w:val="default"/>
    <w:sig w:usb0="E4002EFF" w:usb1="C200247B" w:usb2="00000009" w:usb3="00000000" w:csb0="200001FF" w:csb1="00000000"/>
    <w:embedRegular r:id="rId8" w:fontKey="{5AC7B63F-5DAE-4CB0-BC71-EF7C4E374903}"/>
  </w:font>
  <w:font w:name="Arial">
    <w:panose1 w:val="020B0604020202020204"/>
    <w:charset w:val="00"/>
    <w:family w:val="swiss"/>
    <w:pitch w:val="default"/>
    <w:sig w:usb0="E0002EFF" w:usb1="C000785B" w:usb2="00000009" w:usb3="00000000" w:csb0="400001FF" w:csb1="FFFF0000"/>
    <w:embedRegular r:id="rId9" w:fontKey="{688C0496-1AB2-4CE6-ABEB-34378BDEE23F}"/>
  </w:font>
  <w:font w:name="Calibri Light">
    <w:panose1 w:val="020F0302020204030204"/>
    <w:charset w:val="00"/>
    <w:family w:val="swiss"/>
    <w:pitch w:val="default"/>
    <w:sig w:usb0="E4002EFF" w:usb1="C200247B" w:usb2="00000009" w:usb3="00000000" w:csb0="200001FF" w:csb1="00000000"/>
    <w:embedRegular r:id="rId10" w:fontKey="{FD993045-B354-4F76-A703-6FF604E78FA8}"/>
  </w:font>
  <w:font w:name="仿宋">
    <w:panose1 w:val="02010609060101010101"/>
    <w:charset w:val="86"/>
    <w:family w:val="modern"/>
    <w:pitch w:val="default"/>
    <w:sig w:usb0="800002BF" w:usb1="38CF7CFA" w:usb2="00000016" w:usb3="00000000" w:csb0="00040001" w:csb1="00000000"/>
    <w:embedRegular r:id="rId11" w:fontKey="{D76A1385-338A-4062-B2D0-B0AE8C4EA141}"/>
  </w:font>
  <w:font w:name="方正仿宋_GB2312">
    <w:altName w:val="仿宋"/>
    <w:panose1 w:val="00000000000000000000"/>
    <w:charset w:val="86"/>
    <w:family w:val="auto"/>
    <w:pitch w:val="default"/>
    <w:sig w:usb0="00000000" w:usb1="00000000" w:usb2="00000012" w:usb3="00000000" w:csb0="00040001" w:csb1="00000000"/>
    <w:embedRegular r:id="rId12" w:fontKey="{C936F818-DDD7-437B-AFA6-E66F0FA436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9ED23">
    <w:pPr>
      <w:spacing w:line="117" w:lineRule="exact"/>
      <w:ind w:firstLine="336"/>
      <w:rPr>
        <w:rFonts w:ascii="Calibri" w:hAnsi="Calibri" w:eastAsia="Calibri" w:cs="Calibri"/>
        <w:sz w:val="18"/>
        <w:szCs w:val="18"/>
      </w:rPr>
    </w:pPr>
    <w:r>
      <w:rPr>
        <w:rFonts w:ascii="Calibri" w:hAnsi="Calibri" w:eastAsia="Calibri" w:cs="Calibri"/>
        <w:spacing w:val="-6"/>
        <w:position w:val="-2"/>
        <w:sz w:val="18"/>
        <w:szCs w:val="18"/>
      </w:rPr>
      <w:t>27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FD7588A"/>
    <w:multiLevelType w:val="multilevel"/>
    <w:tmpl w:val="3FD7588A"/>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
    <w:nsid w:val="4549551C"/>
    <w:multiLevelType w:val="multilevel"/>
    <w:tmpl w:val="4549551C"/>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embedSystemFonts/>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Q5ZjlkZjgyNzZiMTMzM2Y0OTA1NmJmN2UxMTk0MTQifQ=="/>
  </w:docVars>
  <w:rsids>
    <w:rsidRoot w:val="37FB697D"/>
    <w:rsid w:val="00384630"/>
    <w:rsid w:val="006A4895"/>
    <w:rsid w:val="00F774DE"/>
    <w:rsid w:val="00FB6AA3"/>
    <w:rsid w:val="00FC6E45"/>
    <w:rsid w:val="115F02EA"/>
    <w:rsid w:val="1A002FAC"/>
    <w:rsid w:val="24DD57CF"/>
    <w:rsid w:val="25A27BFE"/>
    <w:rsid w:val="2D044EFD"/>
    <w:rsid w:val="2E2E1410"/>
    <w:rsid w:val="37FB697D"/>
    <w:rsid w:val="3FCC6567"/>
    <w:rsid w:val="41853A44"/>
    <w:rsid w:val="41B052A4"/>
    <w:rsid w:val="45A63E2D"/>
    <w:rsid w:val="464B5FE5"/>
    <w:rsid w:val="4821657E"/>
    <w:rsid w:val="485448FC"/>
    <w:rsid w:val="49CF6A1E"/>
    <w:rsid w:val="4AEB73F5"/>
    <w:rsid w:val="556D1FDF"/>
    <w:rsid w:val="59CA7FD6"/>
    <w:rsid w:val="5CE32CF3"/>
    <w:rsid w:val="5D7153BD"/>
    <w:rsid w:val="617678F3"/>
    <w:rsid w:val="65FB72AD"/>
    <w:rsid w:val="6671351E"/>
    <w:rsid w:val="67017598"/>
    <w:rsid w:val="678F6B79"/>
    <w:rsid w:val="701A290C"/>
    <w:rsid w:val="7FF056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99"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utoSpaceDE w:val="0"/>
      <w:autoSpaceDN w:val="0"/>
      <w:adjustRightInd w:val="0"/>
      <w:snapToGrid w:val="0"/>
      <w:spacing w:line="360" w:lineRule="auto"/>
      <w:ind w:firstLine="472" w:firstLineChars="200"/>
      <w:textAlignment w:val="baseline"/>
    </w:pPr>
    <w:rPr>
      <w:rFonts w:ascii="Arial" w:hAnsi="Arial" w:eastAsia="宋体" w:cs="Arial"/>
      <w:snapToGrid w:val="0"/>
      <w:color w:val="000000"/>
      <w:sz w:val="24"/>
      <w:szCs w:val="21"/>
      <w:lang w:val="en-US" w:eastAsia="zh-CN" w:bidi="ar-SA"/>
    </w:rPr>
  </w:style>
  <w:style w:type="paragraph" w:styleId="3">
    <w:name w:val="heading 1"/>
    <w:basedOn w:val="1"/>
    <w:next w:val="1"/>
    <w:qFormat/>
    <w:uiPriority w:val="0"/>
    <w:pPr>
      <w:keepNext/>
      <w:keepLines/>
      <w:spacing w:before="340" w:after="330" w:line="576" w:lineRule="auto"/>
      <w:outlineLvl w:val="0"/>
    </w:pPr>
    <w:rPr>
      <w:b/>
      <w:kern w:val="44"/>
      <w:sz w:val="44"/>
    </w:rPr>
  </w:style>
  <w:style w:type="paragraph" w:styleId="4">
    <w:name w:val="heading 2"/>
    <w:basedOn w:val="1"/>
    <w:next w:val="1"/>
    <w:link w:val="10"/>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7">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toc 1"/>
    <w:basedOn w:val="1"/>
    <w:next w:val="1"/>
    <w:semiHidden/>
    <w:qFormat/>
    <w:uiPriority w:val="99"/>
    <w:pPr>
      <w:spacing w:line="180" w:lineRule="auto"/>
      <w:jc w:val="center"/>
    </w:pPr>
    <w:rPr>
      <w:sz w:val="30"/>
      <w:szCs w:val="30"/>
    </w:rPr>
  </w:style>
  <w:style w:type="table" w:styleId="6">
    <w:name w:val="Table Grid"/>
    <w:basedOn w:val="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
    <w:name w:val="Table Normal"/>
    <w:semiHidden/>
    <w:unhideWhenUsed/>
    <w:qFormat/>
    <w:uiPriority w:val="0"/>
    <w:tblPr>
      <w:tblCellMar>
        <w:top w:w="0" w:type="dxa"/>
        <w:left w:w="0" w:type="dxa"/>
        <w:bottom w:w="0" w:type="dxa"/>
        <w:right w:w="0" w:type="dxa"/>
      </w:tblCellMar>
    </w:tblPr>
  </w:style>
  <w:style w:type="paragraph" w:customStyle="1" w:styleId="9">
    <w:name w:val="样式1"/>
    <w:basedOn w:val="1"/>
    <w:qFormat/>
    <w:uiPriority w:val="0"/>
    <w:pPr>
      <w:spacing w:before="42" w:line="240" w:lineRule="auto"/>
      <w:ind w:firstLine="0" w:firstLineChars="0"/>
    </w:pPr>
    <w:rPr>
      <w:rFonts w:ascii="宋体" w:hAnsi="宋体" w:cs="宋体"/>
      <w:spacing w:val="-5"/>
      <w:szCs w:val="24"/>
    </w:rPr>
  </w:style>
  <w:style w:type="character" w:customStyle="1" w:styleId="10">
    <w:name w:val="标题 2 字符"/>
    <w:basedOn w:val="7"/>
    <w:link w:val="4"/>
    <w:uiPriority w:val="0"/>
    <w:rPr>
      <w:rFonts w:asciiTheme="majorHAnsi" w:hAnsiTheme="majorHAnsi" w:eastAsiaTheme="majorEastAsia" w:cstheme="majorBidi"/>
      <w:b/>
      <w:bCs/>
      <w:snapToGrid w:val="0"/>
      <w:color w:val="000000"/>
      <w:sz w:val="32"/>
      <w:szCs w:val="32"/>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1733</Words>
  <Characters>1765</Characters>
  <Lines>12</Lines>
  <Paragraphs>3</Paragraphs>
  <TotalTime>23</TotalTime>
  <ScaleCrop>false</ScaleCrop>
  <LinksUpToDate>false</LinksUpToDate>
  <CharactersWithSpaces>1769</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2021-09-27T08:50:00Z</dcterms:created>
  <dc:creator>BC</dc:creator>
  <cp:lastModifiedBy>小白</cp:lastModifiedBy>
  <dcterms:modified xsi:type="dcterms:W3CDTF">2025-06-16T02:43:05Z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75C62BD4E56B4437AB9EC8413A891000_13</vt:lpwstr>
  </property>
  <property fmtid="{D5CDD505-2E9C-101B-9397-08002B2CF9AE}" pid="4" name="KSOTemplateDocerSaveRecord">
    <vt:lpwstr>eyJoZGlkIjoiZmY5MjkyNzVhNDBjYTE5ZTYxZDVlOTA1YTJmM2FjM2EiLCJ1c2VySWQiOiIzODI0ODYxMjQifQ==</vt:lpwstr>
  </property>
</Properties>
</file>