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default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直线加速器维保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服务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   月   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赤峰市医院</w:t>
      </w:r>
      <w:r>
        <w:rPr>
          <w:rFonts w:hint="eastAsia" w:ascii="仿宋_GB2312" w:hAnsi="宋体" w:eastAsia="仿宋_GB2312" w:cs="Arial"/>
          <w:color w:val="000000"/>
          <w:sz w:val="24"/>
          <w:szCs w:val="24"/>
          <w:lang w:val="en-US" w:eastAsia="zh-CN"/>
        </w:rPr>
        <w:t>直线加速器维保服务采购项目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1"/>
        <w:gridCol w:w="3215"/>
        <w:gridCol w:w="1162"/>
        <w:gridCol w:w="1557"/>
        <w:gridCol w:w="180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服务期限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  <w:lang w:val="en-US" w:eastAsia="zh-CN"/>
              </w:rPr>
              <w:t>直线加速器维保服务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18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2"/>
        <w:gridCol w:w="3472"/>
        <w:gridCol w:w="2082"/>
        <w:gridCol w:w="20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序号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最终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90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直线加速器维保服务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18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6" w:hRule="atLeast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  <w:p>
            <w:pPr>
              <w:pStyle w:val="2"/>
              <w:ind w:firstLine="5280" w:firstLineChars="2200"/>
              <w:jc w:val="left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四、供应商可以提供的其他资料</w:t>
      </w: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5FB5FBA"/>
    <w:rsid w:val="0A55718B"/>
    <w:rsid w:val="0D7628E4"/>
    <w:rsid w:val="10CA10DF"/>
    <w:rsid w:val="126B0E01"/>
    <w:rsid w:val="14155180"/>
    <w:rsid w:val="16A90D48"/>
    <w:rsid w:val="17B50E72"/>
    <w:rsid w:val="18C1177B"/>
    <w:rsid w:val="1A366198"/>
    <w:rsid w:val="1C502276"/>
    <w:rsid w:val="1D351240"/>
    <w:rsid w:val="206827E5"/>
    <w:rsid w:val="208C266E"/>
    <w:rsid w:val="229677D4"/>
    <w:rsid w:val="23D44A89"/>
    <w:rsid w:val="26040EF9"/>
    <w:rsid w:val="27AE3812"/>
    <w:rsid w:val="27E7419C"/>
    <w:rsid w:val="283205FE"/>
    <w:rsid w:val="28737ABA"/>
    <w:rsid w:val="2BE315B0"/>
    <w:rsid w:val="2D35364D"/>
    <w:rsid w:val="2FED0C50"/>
    <w:rsid w:val="352C35CA"/>
    <w:rsid w:val="3D9077EA"/>
    <w:rsid w:val="40BF0639"/>
    <w:rsid w:val="47E524E0"/>
    <w:rsid w:val="4BF26F96"/>
    <w:rsid w:val="51937451"/>
    <w:rsid w:val="52EC6E19"/>
    <w:rsid w:val="52F67C97"/>
    <w:rsid w:val="53A07C03"/>
    <w:rsid w:val="57285492"/>
    <w:rsid w:val="59B37CF5"/>
    <w:rsid w:val="5C07081F"/>
    <w:rsid w:val="63B20CCB"/>
    <w:rsid w:val="67943B44"/>
    <w:rsid w:val="67BD092C"/>
    <w:rsid w:val="692A0243"/>
    <w:rsid w:val="705B6F34"/>
    <w:rsid w:val="79A272F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916</Words>
  <Characters>924</Characters>
  <Lines>11</Lines>
  <Paragraphs>3</Paragraphs>
  <TotalTime>4</TotalTime>
  <ScaleCrop>false</ScaleCrop>
  <LinksUpToDate>false</LinksUpToDate>
  <CharactersWithSpaces>1302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G</cp:lastModifiedBy>
  <dcterms:modified xsi:type="dcterms:W3CDTF">2024-05-09T02:31:21Z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573EB9D1AC5C4881B489DAA8ED2C2A52_13</vt:lpwstr>
  </property>
</Properties>
</file>