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赤峰市医院学生公寓水控、门禁设备采购项目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4"/>
          <w:szCs w:val="44"/>
        </w:rPr>
        <w:t>院内议价响应文件</w:t>
      </w:r>
    </w:p>
    <w:p/>
    <w:p>
      <w:pPr>
        <w:jc w:val="center"/>
        <w:rPr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486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赤峰市医院学生公寓水控、门禁设备采购项目</w:t>
      </w:r>
    </w:p>
    <w:tbl>
      <w:tblPr>
        <w:tblStyle w:val="10"/>
        <w:tblW w:w="4997" w:type="pct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1"/>
        <w:gridCol w:w="1895"/>
        <w:gridCol w:w="1057"/>
        <w:gridCol w:w="1488"/>
        <w:gridCol w:w="1498"/>
        <w:gridCol w:w="1227"/>
        <w:gridCol w:w="120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  <w:jc w:val="center"/>
        </w:trPr>
        <w:tc>
          <w:tcPr>
            <w:tcW w:w="3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4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82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投标单价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8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价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（元）</w:t>
            </w:r>
          </w:p>
        </w:tc>
        <w:tc>
          <w:tcPr>
            <w:tcW w:w="6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交货期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（日）</w:t>
            </w:r>
          </w:p>
        </w:tc>
        <w:tc>
          <w:tcPr>
            <w:tcW w:w="66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质保期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年）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6" w:hRule="exact"/>
          <w:jc w:val="center"/>
        </w:trPr>
        <w:tc>
          <w:tcPr>
            <w:tcW w:w="3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83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1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exact"/>
          <w:jc w:val="center"/>
        </w:trPr>
        <w:tc>
          <w:tcPr>
            <w:tcW w:w="3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83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1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exact"/>
          <w:jc w:val="center"/>
        </w:trPr>
        <w:tc>
          <w:tcPr>
            <w:tcW w:w="3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83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1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exact"/>
          <w:jc w:val="center"/>
        </w:trPr>
        <w:tc>
          <w:tcPr>
            <w:tcW w:w="38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1045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83" w:type="pct"/>
            <w:vAlign w:val="center"/>
          </w:tcPr>
          <w:p>
            <w:pPr>
              <w:widowControl/>
              <w:spacing w:line="18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21" w:type="pct"/>
            <w:tcBorders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66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atLeast"/>
          <w:jc w:val="center"/>
        </w:trPr>
        <w:tc>
          <w:tcPr>
            <w:tcW w:w="5000" w:type="pct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满足技术参数供佐证材料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质量保障措施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售后服务方案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四）安全保障措施</w:t>
      </w: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3092" w:firstLineChars="11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五）同类业绩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7</TotalTime>
  <ScaleCrop>false</ScaleCrop>
  <LinksUpToDate>false</LinksUpToDate>
  <CharactersWithSpaces>1498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2024-01-15T07:36:17Z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