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8"/>
          <w:szCs w:val="28"/>
          <w:lang w:val="en-US" w:eastAsia="zh-CN"/>
        </w:rPr>
        <w:t>赤峰市医院新城区分院建设项目二期工程测绘服务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lang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318" w:leftChars="304" w:hanging="1680" w:hangingChars="7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1、项目名称：赤峰市医院新城区分院</w:t>
      </w:r>
      <w:bookmarkStart w:id="1" w:name="_GoBack"/>
      <w:bookmarkEnd w:id="1"/>
      <w:r>
        <w:rPr>
          <w:rFonts w:hint="eastAsia" w:ascii="宋体" w:hAnsi="宋体" w:eastAsia="宋体" w:cs="宋体"/>
          <w:b w:val="0"/>
          <w:bCs w:val="0"/>
          <w:sz w:val="24"/>
          <w:szCs w:val="24"/>
          <w:lang w:val="en-US" w:eastAsia="zh-CN"/>
        </w:rPr>
        <w:t>建设项目二期工程测绘服务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2318" w:leftChars="304" w:hanging="1680" w:hangingChars="7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2、建设地点：</w:t>
      </w:r>
      <w:r>
        <w:rPr>
          <w:rFonts w:hint="eastAsia" w:ascii="宋体" w:hAnsi="宋体" w:eastAsia="宋体" w:cs="宋体"/>
          <w:b w:val="0"/>
          <w:bCs w:val="0"/>
          <w:kern w:val="44"/>
          <w:sz w:val="24"/>
          <w:szCs w:val="24"/>
          <w:lang w:val="en-US" w:eastAsia="zh-CN" w:bidi="ar-SA"/>
        </w:rPr>
        <w:t>铁南大街以东、大新地路以南、木叶山大道以北、支一街以西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sz w:val="24"/>
          <w:szCs w:val="24"/>
          <w:lang w:val="en-US" w:eastAsia="zh-CN"/>
        </w:rPr>
        <w:t>3、建设概况：</w:t>
      </w:r>
      <w:r>
        <w:rPr>
          <w:rFonts w:hint="eastAsia" w:ascii="宋体" w:hAnsi="宋体" w:eastAsia="宋体" w:cs="宋体"/>
          <w:b w:val="0"/>
          <w:bCs w:val="0"/>
          <w:kern w:val="44"/>
          <w:sz w:val="24"/>
          <w:szCs w:val="24"/>
          <w:lang w:val="en-US" w:eastAsia="zh-CN" w:bidi="ar-SA"/>
        </w:rPr>
        <w:t>建设用地面积141232平方米。建设用地分东西两个地块，其中西侧地块建设用地面积111630平方米，东地块建设用地面积为29602平方米</w:t>
      </w:r>
      <w:bookmarkStart w:id="0" w:name="_Hlk88035724"/>
      <w:r>
        <w:rPr>
          <w:rFonts w:hint="eastAsia" w:ascii="宋体" w:hAnsi="宋体" w:eastAsia="宋体" w:cs="宋体"/>
          <w:b w:val="0"/>
          <w:bCs w:val="0"/>
          <w:kern w:val="44"/>
          <w:sz w:val="24"/>
          <w:szCs w:val="24"/>
          <w:lang w:val="en-US" w:eastAsia="zh-CN" w:bidi="ar-SA"/>
        </w:rPr>
        <w:t>。二期总建筑面积117000平方米</w:t>
      </w:r>
      <w:bookmarkEnd w:id="0"/>
      <w:r>
        <w:rPr>
          <w:rFonts w:hint="eastAsia" w:ascii="宋体" w:hAnsi="宋体" w:eastAsia="宋体" w:cs="宋体"/>
          <w:b w:val="0"/>
          <w:bCs w:val="0"/>
          <w:kern w:val="44"/>
          <w:sz w:val="24"/>
          <w:szCs w:val="24"/>
          <w:lang w:val="en-US" w:eastAsia="zh-CN" w:bidi="ar-SA"/>
        </w:rPr>
        <w:t>，其中地上建筑面积92000平方米、地下建筑面积 25000 平方米。1#病房楼、3#病房楼（主楼加裙房）、5#行政科研综合楼、立体车库、其他附属工程（坡道雨棚、室外楼梯出入口、汇流排间/液氧站、门卫）。</w:t>
      </w: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4、编制依据及执行标准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4.1GB/T20257.1-2007《国家基本比例尺地图图式第一部分1:500 1:1000 1:2000地形图图式》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4.2DGJ08-86-2000《1:500、1:1000、1:2000数字地形测量规范》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4.3CJJ/T8-2011《城市测量规范》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4.46GB/T24356-2009《测绘成果质量检查与验收》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4.5GB/T18316-2008《数字测绘成果质量检查与验收》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4.6GB/T17278-2009《数字地形图产品基本要求》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4.7CJJ/T73-2019 《卫星定位城市测量技术标准》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4.8GLW031《环境工作管理规定》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4.9GLW032《安全工作管理规定》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4.10GLW033《职业健康管理规定》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4.11T/SHCH 001-2020《基于地理实体的全息要素采集与建库》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4.12GB/T12898-2009 《国家三、四等水准测量规范》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4.13GB/T14268-2008 《国家基本比例尺地形图更新规范》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4.14《全球定位系统（GPS）测量规范》（GB/T 18314-2009）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4.15《全球定位系统实时动态测量（RTK）技术规范》（CH/T 2009-2010）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技术要求</w:t>
      </w:r>
    </w:p>
    <w:p>
      <w:pPr>
        <w:pStyle w:val="4"/>
        <w:spacing w:before="0" w:after="0" w:line="360" w:lineRule="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 1:500比例尺数字地形图测绘要求</w:t>
      </w:r>
    </w:p>
    <w:p>
      <w:pPr>
        <w:pStyle w:val="7"/>
        <w:numPr>
          <w:ilvl w:val="0"/>
          <w:numId w:val="0"/>
        </w:numPr>
        <w:tabs>
          <w:tab w:val="left" w:pos="851"/>
        </w:tabs>
        <w:adjustRightInd w:val="0"/>
        <w:snapToGrid w:val="0"/>
        <w:spacing w:line="360" w:lineRule="auto"/>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5.1.1平面精度</w:t>
      </w:r>
    </w:p>
    <w:p>
      <w:pPr>
        <w:snapToGrid w:val="0"/>
        <w:spacing w:line="360" w:lineRule="auto"/>
        <w:ind w:firstLine="480" w:firstLineChars="20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采用实时更新、季度更新、年度更新方式，范围内地物点相对于邻近平面控制点的点位中误差应≤±0.10m，施测困难的应≤±0.15m。采用截距法或交线法修测的平面位置中误差应≤±0.15m。</w:t>
      </w:r>
    </w:p>
    <w:p>
      <w:pPr>
        <w:pStyle w:val="7"/>
        <w:numPr>
          <w:ilvl w:val="0"/>
          <w:numId w:val="0"/>
        </w:numPr>
        <w:tabs>
          <w:tab w:val="left" w:pos="851"/>
        </w:tabs>
        <w:adjustRightInd w:val="0"/>
        <w:snapToGrid w:val="0"/>
        <w:spacing w:line="360" w:lineRule="auto"/>
        <w:ind w:leftChars="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5.1.2高程精度 </w:t>
      </w:r>
    </w:p>
    <w:p>
      <w:pPr>
        <w:tabs>
          <w:tab w:val="left" w:pos="851"/>
        </w:tabs>
        <w:adjustRightInd w:val="0"/>
        <w:snapToGrid w:val="0"/>
        <w:spacing w:line="360" w:lineRule="auto"/>
        <w:ind w:firstLine="600" w:firstLineChars="250"/>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卫星定位高程控制测量用于建立四等高程控制网的高程异常模型，其高程异常模型内符合中误差不应大于20mm，高程异常模型高程中误差不应大于30mm。</w:t>
      </w:r>
    </w:p>
    <w:p>
      <w:pPr>
        <w:pStyle w:val="2"/>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5.2规划定桩测量、建筑物放线要求</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5.2.1测绘单位应严格按照建设工程规划许可证及其附件、附图进行放线，不得为未获得建设工程规划许可证或建设工程规划许可证已过期建设项目放线;因现实状况地形条件无法满足建设工程规划许可证规定，测绘单位应及时告知建设单位到原审批部门申请变更后，再重新进行放线。规划放线图中标注所有尺寸均为首层满外尺寸(包括保温层和外装饰层)，标注位置要与建设工程规划许可证总平面图相对应。</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5.2.2规划定桩测量、建筑物放线工作采用2000国家大地坐标系，高程采用1985国家高程基准。</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5.2.3线测量和拨地测量应采用解析法作业。</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5.2.4线测量和拨地测量测定的中线点、轴线点、拨地定桩点与相邻控制点的点位中误差不应大于50mm。</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5.2.5平面控制点的等级不应低于三级，并宜采用导线测量或卫星定位动态测量等方法布设。在控制点稀少地区，三级导线可同级附和一次。</w:t>
      </w:r>
    </w:p>
    <w:p>
      <w:pPr>
        <w:pStyle w:val="2"/>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5.2.6采用卫星定位动态测量方法布设平面控制点时，应符合现行行业标准《卫星定位城市测量技术规范》CJJ/T73的相关规定。</w:t>
      </w:r>
    </w:p>
    <w:p>
      <w:pPr>
        <w:pStyle w:val="2"/>
        <w:ind w:firstLine="480" w:firstLineChars="200"/>
        <w:rPr>
          <w:rFonts w:hint="eastAsia" w:ascii="宋体" w:hAnsi="宋体" w:eastAsia="宋体" w:cs="宋体"/>
          <w:b w:val="0"/>
          <w:bCs w:val="0"/>
          <w:kern w:val="2"/>
          <w:sz w:val="24"/>
          <w:szCs w:val="24"/>
          <w:lang w:val="en-US" w:eastAsia="zh-CN" w:bidi="ar-SA"/>
        </w:rPr>
      </w:pPr>
    </w:p>
    <w:p>
      <w:pPr>
        <w:pStyle w:val="2"/>
        <w:rPr>
          <w:rFonts w:hint="eastAsia" w:ascii="宋体" w:hAnsi="宋体" w:eastAsia="宋体" w:cs="宋体"/>
          <w:b w:val="0"/>
          <w:bCs w:val="0"/>
          <w:kern w:val="2"/>
          <w:sz w:val="24"/>
          <w:szCs w:val="24"/>
          <w:lang w:val="en-US" w:eastAsia="zh-CN" w:bidi="ar-SA"/>
        </w:rPr>
      </w:pPr>
    </w:p>
    <w:p>
      <w:pPr>
        <w:pStyle w:val="2"/>
        <w:numPr>
          <w:ilvl w:val="0"/>
          <w:numId w:val="0"/>
        </w:numPr>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79" w:leftChars="0" w:firstLine="240" w:firstLineChars="100"/>
        <w:jc w:val="left"/>
        <w:textAlignment w:val="auto"/>
        <w:rPr>
          <w:rFonts w:hint="eastAsia" w:ascii="宋体" w:hAnsi="宋体" w:eastAsia="宋体" w:cs="宋体"/>
          <w:b w:val="0"/>
          <w:bCs w:val="0"/>
          <w:sz w:val="24"/>
          <w:szCs w:val="24"/>
          <w:lang w:val="en-US" w:eastAsia="zh-CN"/>
        </w:rPr>
      </w:pPr>
    </w:p>
    <w:p>
      <w:pPr>
        <w:numPr>
          <w:ilvl w:val="0"/>
          <w:numId w:val="0"/>
        </w:numPr>
        <w:snapToGrid w:val="0"/>
        <w:spacing w:line="360" w:lineRule="auto"/>
        <w:ind w:left="-279" w:leftChars="0" w:firstLine="240" w:firstLineChars="100"/>
        <w:jc w:val="left"/>
        <w:rPr>
          <w:rFonts w:hint="eastAsia" w:ascii="宋体" w:hAnsi="宋体" w:eastAsia="宋体" w:cs="宋体"/>
          <w:b w:val="0"/>
          <w:bCs w:val="0"/>
          <w:kern w:val="0"/>
          <w:sz w:val="24"/>
          <w:szCs w:val="24"/>
        </w:rPr>
      </w:pPr>
    </w:p>
    <w:p>
      <w:pPr>
        <w:numPr>
          <w:ilvl w:val="0"/>
          <w:numId w:val="0"/>
        </w:numPr>
        <w:snapToGrid w:val="0"/>
        <w:spacing w:line="360" w:lineRule="auto"/>
        <w:ind w:left="-279" w:leftChars="0" w:firstLine="240" w:firstLineChars="100"/>
        <w:jc w:val="left"/>
        <w:rPr>
          <w:rFonts w:hint="eastAsia" w:ascii="宋体" w:hAnsi="宋体" w:eastAsia="宋体" w:cs="宋体"/>
          <w:b w:val="0"/>
          <w:bCs w:val="0"/>
          <w:kern w:val="0"/>
          <w:sz w:val="24"/>
          <w:szCs w:val="24"/>
          <w:lang w:val="en-US" w:eastAsia="zh-CN"/>
        </w:rPr>
      </w:pPr>
    </w:p>
    <w:p>
      <w:pPr>
        <w:numPr>
          <w:ilvl w:val="0"/>
          <w:numId w:val="0"/>
        </w:numPr>
        <w:snapToGrid w:val="0"/>
        <w:spacing w:line="360" w:lineRule="auto"/>
        <w:jc w:val="left"/>
        <w:rPr>
          <w:rFonts w:hint="eastAsia" w:ascii="宋体" w:hAnsi="宋体" w:eastAsia="宋体" w:cs="宋体"/>
          <w:b w:val="0"/>
          <w:bCs w:val="0"/>
          <w:kern w:val="0"/>
          <w:sz w:val="24"/>
          <w:szCs w:val="24"/>
        </w:rPr>
      </w:pPr>
    </w:p>
    <w:p>
      <w:pPr>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20AF9"/>
    <w:multiLevelType w:val="singleLevel"/>
    <w:tmpl w:val="20320AF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jRhODg1ZjY1ODNjNjFlYmE4ZWEwYmNjZWYxMmQifQ=="/>
  </w:docVars>
  <w:rsids>
    <w:rsidRoot w:val="4C2966D2"/>
    <w:rsid w:val="048F260C"/>
    <w:rsid w:val="13280AA0"/>
    <w:rsid w:val="2B332EA6"/>
    <w:rsid w:val="327D499F"/>
    <w:rsid w:val="42AD6748"/>
    <w:rsid w:val="4C2966D2"/>
    <w:rsid w:val="4F2F11F4"/>
    <w:rsid w:val="5DA46453"/>
    <w:rsid w:val="7463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1084</Words>
  <Characters>1432</Characters>
  <Lines>0</Lines>
  <Paragraphs>0</Paragraphs>
  <TotalTime>5715</TotalTime>
  <ScaleCrop>false</ScaleCrop>
  <LinksUpToDate>false</LinksUpToDate>
  <CharactersWithSpaces>1444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2021-11-15T02:33:00Z</dcterms:created>
  <dc:creator>宫</dc:creator>
  <cp:lastModifiedBy>王新然</cp:lastModifiedBy>
  <dcterms:modified xsi:type="dcterms:W3CDTF">2023-09-01T09:50:51Z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7DC29B7AC57E496A9FA63782E72F359F</vt:lpwstr>
  </property>
</Properties>
</file>