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953BE" w14:textId="77777777" w:rsidR="002F758E" w:rsidRDefault="00000000">
      <w:pPr>
        <w:spacing w:after="592" w:line="592" w:lineRule="exact"/>
        <w:jc w:val="center"/>
      </w:pPr>
      <w:r>
        <w:rPr>
          <w:rFonts w:ascii="Times New Roman" w:eastAsia="方正小标宋_GBK" w:hAnsi="方正小标宋_GBK" w:cs="Times New Roman"/>
          <w:color w:val="000000"/>
          <w:sz w:val="44"/>
          <w:szCs w:val="44"/>
        </w:rPr>
        <w:t>LIS</w:t>
      </w:r>
      <w:r>
        <w:rPr>
          <w:rFonts w:ascii="Times New Roman" w:eastAsia="方正小标宋_GBK" w:hAnsi="方正小标宋_GBK" w:cs="Times New Roman"/>
          <w:color w:val="000000"/>
          <w:sz w:val="44"/>
          <w:szCs w:val="44"/>
        </w:rPr>
        <w:t>检验设备联机及系统升级改造项目参数</w:t>
      </w:r>
    </w:p>
    <w:p w14:paraId="749D8AD1" w14:textId="77777777" w:rsidR="002F758E" w:rsidRDefault="00000000">
      <w:pPr>
        <w:pStyle w:val="1"/>
        <w:spacing w:line="592" w:lineRule="exact"/>
        <w:ind w:firstLineChars="200" w:firstLine="630"/>
        <w:jc w:val="both"/>
      </w:pPr>
      <w:r>
        <w:rPr>
          <w:rFonts w:ascii="Times New Roman" w:eastAsia="黑体" w:hAnsi="黑体" w:cs="Times New Roman"/>
          <w:color w:val="000000"/>
          <w:spacing w:val="-5"/>
        </w:rPr>
        <w:t>一、项目概述</w:t>
      </w:r>
    </w:p>
    <w:p w14:paraId="24E28191" w14:textId="77777777" w:rsidR="002F758E" w:rsidRDefault="00000000">
      <w:pPr>
        <w:spacing w:line="592" w:lineRule="exact"/>
        <w:ind w:firstLineChars="200" w:firstLine="630"/>
      </w:pPr>
      <w:r>
        <w:rPr>
          <w:rFonts w:ascii="Times New Roman" w:eastAsia="仿宋_GB2312" w:hAnsi="仿宋_GB2312" w:cs="Times New Roman"/>
          <w:color w:val="000000"/>
          <w:spacing w:val="-5"/>
          <w:sz w:val="32"/>
          <w:szCs w:val="32"/>
        </w:rPr>
        <w:t>为保障新院区检验业务按期开诊并满足新、旧院区协同运行需要，本项目拟完成</w:t>
      </w:r>
      <w:r>
        <w:rPr>
          <w:rFonts w:ascii="Times New Roman" w:eastAsia="仿宋_GB2312" w:hAnsi="仿宋_GB2312" w:cs="Times New Roman" w:hint="eastAsia"/>
          <w:color w:val="000000"/>
          <w:spacing w:val="-5"/>
          <w:sz w:val="32"/>
          <w:szCs w:val="32"/>
        </w:rPr>
        <w:t>36</w:t>
      </w:r>
      <w:r>
        <w:rPr>
          <w:rFonts w:ascii="Times New Roman" w:eastAsia="仿宋_GB2312" w:hAnsi="仿宋_GB2312" w:cs="Times New Roman" w:hint="eastAsia"/>
          <w:color w:val="000000"/>
          <w:spacing w:val="-5"/>
          <w:sz w:val="32"/>
          <w:szCs w:val="32"/>
        </w:rPr>
        <w:t>台</w:t>
      </w:r>
      <w:r>
        <w:rPr>
          <w:rFonts w:ascii="Times New Roman" w:eastAsia="仿宋_GB2312" w:hAnsi="仿宋_GB2312" w:cs="Times New Roman" w:hint="eastAsia"/>
          <w:color w:val="000000"/>
          <w:spacing w:val="-5"/>
          <w:sz w:val="32"/>
          <w:szCs w:val="32"/>
        </w:rPr>
        <w:t>/</w:t>
      </w:r>
      <w:r>
        <w:rPr>
          <w:rFonts w:ascii="Times New Roman" w:eastAsia="仿宋_GB2312" w:hAnsi="仿宋_GB2312" w:cs="Times New Roman" w:hint="eastAsia"/>
          <w:color w:val="000000"/>
          <w:spacing w:val="-5"/>
          <w:sz w:val="32"/>
          <w:szCs w:val="32"/>
        </w:rPr>
        <w:t>套</w:t>
      </w:r>
      <w:r>
        <w:rPr>
          <w:rFonts w:ascii="Times New Roman" w:eastAsia="仿宋_GB2312" w:hAnsi="仿宋_GB2312" w:cs="Times New Roman"/>
          <w:color w:val="000000"/>
          <w:spacing w:val="-5"/>
          <w:sz w:val="32"/>
          <w:szCs w:val="32"/>
        </w:rPr>
        <w:t>检验仪器与</w:t>
      </w:r>
      <w:r>
        <w:rPr>
          <w:rFonts w:ascii="Times New Roman" w:eastAsia="仿宋_GB2312" w:hAnsi="仿宋_GB2312" w:cs="Times New Roman"/>
          <w:color w:val="000000"/>
          <w:spacing w:val="-5"/>
          <w:sz w:val="32"/>
          <w:szCs w:val="32"/>
        </w:rPr>
        <w:t>LIS</w:t>
      </w:r>
      <w:r>
        <w:rPr>
          <w:rFonts w:ascii="Times New Roman" w:eastAsia="仿宋_GB2312" w:hAnsi="仿宋_GB2312" w:cs="Times New Roman"/>
          <w:color w:val="000000"/>
          <w:spacing w:val="-5"/>
          <w:sz w:val="32"/>
          <w:szCs w:val="32"/>
        </w:rPr>
        <w:t>系统联机，实现检验申请、标本信息、仪器检测结果和异常信息在仪器与系统之间准确传输，并完成相关业务流程配置、联机调试和结果验证。在此基础上，对医院</w:t>
      </w:r>
      <w:r>
        <w:rPr>
          <w:rFonts w:ascii="Times New Roman" w:eastAsia="仿宋_GB2312" w:hAnsi="仿宋_GB2312" w:cs="Times New Roman"/>
          <w:color w:val="000000"/>
          <w:spacing w:val="-5"/>
          <w:sz w:val="32"/>
          <w:szCs w:val="32"/>
        </w:rPr>
        <w:t>LIS</w:t>
      </w:r>
      <w:r>
        <w:rPr>
          <w:rFonts w:ascii="Times New Roman" w:eastAsia="仿宋_GB2312" w:hAnsi="仿宋_GB2312" w:cs="Times New Roman"/>
          <w:color w:val="000000"/>
          <w:spacing w:val="-5"/>
          <w:sz w:val="32"/>
          <w:szCs w:val="32"/>
        </w:rPr>
        <w:t>系统进行升级改造，完善检验业务、质量控制和实验室管理功能，实现新、旧院区统一部署、统一数据、统一规则和统一管理。</w:t>
      </w:r>
    </w:p>
    <w:p w14:paraId="50570272" w14:textId="77777777" w:rsidR="002F758E" w:rsidRDefault="00000000">
      <w:pPr>
        <w:pStyle w:val="1"/>
        <w:spacing w:line="592" w:lineRule="exact"/>
        <w:ind w:firstLineChars="200" w:firstLine="630"/>
        <w:jc w:val="both"/>
      </w:pPr>
      <w:r>
        <w:rPr>
          <w:rFonts w:ascii="Times New Roman" w:eastAsia="黑体" w:hAnsi="黑体" w:cs="Times New Roman"/>
          <w:color w:val="000000"/>
          <w:spacing w:val="-5"/>
        </w:rPr>
        <w:t>二、技术要求</w:t>
      </w:r>
    </w:p>
    <w:p w14:paraId="3212B51E" w14:textId="77777777" w:rsidR="002F758E" w:rsidRDefault="00000000">
      <w:pPr>
        <w:pStyle w:val="2"/>
        <w:spacing w:line="592" w:lineRule="exact"/>
        <w:ind w:firstLineChars="200" w:firstLine="630"/>
        <w:jc w:val="both"/>
      </w:pPr>
      <w:r>
        <w:rPr>
          <w:rFonts w:ascii="Times New Roman" w:eastAsia="楷体_GB2312" w:hAnsi="楷体_GB2312" w:cs="Times New Roman"/>
          <w:color w:val="000000"/>
          <w:spacing w:val="-5"/>
          <w:sz w:val="32"/>
          <w:szCs w:val="32"/>
        </w:rPr>
        <w:t>（一）检验仪器联机范围与实施要求</w:t>
      </w:r>
    </w:p>
    <w:p w14:paraId="30871B13"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供应商应完成新城院区</w:t>
      </w:r>
      <w:r>
        <w:rPr>
          <w:rFonts w:ascii="Times New Roman" w:eastAsia="仿宋_GB2312" w:hAnsi="仿宋_GB2312" w:cs="Times New Roman" w:hint="eastAsia"/>
          <w:color w:val="000000"/>
          <w:spacing w:val="-5"/>
          <w:sz w:val="32"/>
          <w:szCs w:val="32"/>
        </w:rPr>
        <w:t>36</w:t>
      </w:r>
      <w:r>
        <w:rPr>
          <w:rFonts w:ascii="Times New Roman" w:eastAsia="仿宋_GB2312" w:hAnsi="仿宋_GB2312" w:cs="Times New Roman" w:hint="eastAsia"/>
          <w:color w:val="000000"/>
          <w:spacing w:val="-5"/>
          <w:sz w:val="32"/>
          <w:szCs w:val="32"/>
        </w:rPr>
        <w:t>台</w:t>
      </w:r>
      <w:r>
        <w:rPr>
          <w:rFonts w:ascii="Times New Roman" w:eastAsia="仿宋_GB2312" w:hAnsi="仿宋_GB2312" w:cs="Times New Roman" w:hint="eastAsia"/>
          <w:color w:val="000000"/>
          <w:spacing w:val="-5"/>
          <w:sz w:val="32"/>
          <w:szCs w:val="32"/>
        </w:rPr>
        <w:t>/</w:t>
      </w:r>
      <w:r>
        <w:rPr>
          <w:rFonts w:ascii="Times New Roman" w:eastAsia="仿宋_GB2312" w:hAnsi="仿宋_GB2312" w:cs="Times New Roman" w:hint="eastAsia"/>
          <w:color w:val="000000"/>
          <w:spacing w:val="-5"/>
          <w:sz w:val="32"/>
          <w:szCs w:val="32"/>
        </w:rPr>
        <w:t>套</w:t>
      </w:r>
      <w:r>
        <w:rPr>
          <w:rFonts w:ascii="Times New Roman" w:eastAsia="仿宋_GB2312" w:hAnsi="仿宋_GB2312" w:cs="Times New Roman"/>
          <w:color w:val="000000"/>
          <w:spacing w:val="-5"/>
          <w:sz w:val="32"/>
          <w:szCs w:val="32"/>
        </w:rPr>
        <w:t>检验仪器与医院现有</w:t>
      </w:r>
      <w:r>
        <w:rPr>
          <w:rFonts w:ascii="Times New Roman" w:eastAsia="仿宋_GB2312" w:hAnsi="仿宋_GB2312" w:cs="Times New Roman"/>
          <w:color w:val="000000"/>
          <w:spacing w:val="-5"/>
          <w:sz w:val="32"/>
          <w:szCs w:val="32"/>
        </w:rPr>
        <w:t>LIS</w:t>
      </w:r>
      <w:r>
        <w:rPr>
          <w:rFonts w:ascii="Times New Roman" w:eastAsia="仿宋_GB2312" w:hAnsi="仿宋_GB2312" w:cs="Times New Roman"/>
          <w:color w:val="000000"/>
          <w:spacing w:val="-5"/>
          <w:sz w:val="32"/>
          <w:szCs w:val="32"/>
        </w:rPr>
        <w:t>系统联机，并对通信适配、参数配置、联调测试及交付结果承担总体责任。</w:t>
      </w:r>
    </w:p>
    <w:p w14:paraId="15B7E0B9"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医院确认的实施清单用于明确</w:t>
      </w:r>
      <w:r>
        <w:rPr>
          <w:rFonts w:ascii="Times New Roman" w:eastAsia="仿宋_GB2312" w:hAnsi="仿宋_GB2312" w:cs="Times New Roman" w:hint="eastAsia"/>
          <w:color w:val="000000"/>
          <w:spacing w:val="-5"/>
          <w:sz w:val="32"/>
          <w:szCs w:val="32"/>
        </w:rPr>
        <w:t>36</w:t>
      </w:r>
      <w:r>
        <w:rPr>
          <w:rFonts w:ascii="Times New Roman" w:eastAsia="仿宋_GB2312" w:hAnsi="仿宋_GB2312" w:cs="Times New Roman" w:hint="eastAsia"/>
          <w:color w:val="000000"/>
          <w:spacing w:val="-5"/>
          <w:sz w:val="32"/>
          <w:szCs w:val="32"/>
        </w:rPr>
        <w:t>台</w:t>
      </w:r>
      <w:r>
        <w:rPr>
          <w:rFonts w:ascii="Times New Roman" w:eastAsia="仿宋_GB2312" w:hAnsi="仿宋_GB2312" w:cs="Times New Roman" w:hint="eastAsia"/>
          <w:color w:val="000000"/>
          <w:spacing w:val="-5"/>
          <w:sz w:val="32"/>
          <w:szCs w:val="32"/>
        </w:rPr>
        <w:t>/</w:t>
      </w:r>
      <w:r>
        <w:rPr>
          <w:rFonts w:ascii="Times New Roman" w:eastAsia="仿宋_GB2312" w:hAnsi="仿宋_GB2312" w:cs="Times New Roman" w:hint="eastAsia"/>
          <w:color w:val="000000"/>
          <w:spacing w:val="-5"/>
          <w:sz w:val="32"/>
          <w:szCs w:val="32"/>
        </w:rPr>
        <w:t>套</w:t>
      </w:r>
      <w:r>
        <w:rPr>
          <w:rFonts w:ascii="Times New Roman" w:eastAsia="仿宋_GB2312" w:hAnsi="仿宋_GB2312" w:cs="Times New Roman"/>
          <w:color w:val="000000"/>
          <w:spacing w:val="-5"/>
          <w:sz w:val="32"/>
          <w:szCs w:val="32"/>
        </w:rPr>
        <w:t>检验仪器的名称、型号、安装位置、通信条件和联机方式，不得减少联机仪器总量或者缩小采购范围。</w:t>
      </w:r>
    </w:p>
    <w:p w14:paraId="6FB5180E"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检验仪器采用单向或者双向联机，应根据仪器实际通信能力、检验业务需要和实施确认结果确定，不设置固定的双向联机数量。</w:t>
      </w:r>
    </w:p>
    <w:p w14:paraId="51D38ADD"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4</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实施前，供应商应逐台核查仪器运行状态、通信接口、通信协议、数据格式、网络条件及配合事项，形成与实施清单相对应的联机技术方案。</w:t>
      </w:r>
    </w:p>
    <w:p w14:paraId="6918E4CC"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5</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供应商应会同医院及相关配合</w:t>
      </w:r>
      <w:proofErr w:type="gramStart"/>
      <w:r>
        <w:rPr>
          <w:rFonts w:ascii="Times New Roman" w:eastAsia="仿宋_GB2312" w:hAnsi="仿宋_GB2312" w:cs="Times New Roman"/>
          <w:color w:val="000000"/>
          <w:spacing w:val="-5"/>
          <w:sz w:val="32"/>
          <w:szCs w:val="32"/>
        </w:rPr>
        <w:t>方明确</w:t>
      </w:r>
      <w:proofErr w:type="gramEnd"/>
      <w:r>
        <w:rPr>
          <w:rFonts w:ascii="Times New Roman" w:eastAsia="仿宋_GB2312" w:hAnsi="仿宋_GB2312" w:cs="Times New Roman"/>
          <w:color w:val="000000"/>
          <w:spacing w:val="-5"/>
          <w:sz w:val="32"/>
          <w:szCs w:val="32"/>
        </w:rPr>
        <w:t>每台仪器的实施步骤、测试内容、上线安排和异常处置方式，并提前落实通信资料、接口授权和现场配合条件。</w:t>
      </w:r>
    </w:p>
    <w:p w14:paraId="2458C65F"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6</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联机实施应以仪器现有通信能力为基础，完成必要的通信参数配置、接口适配和联调，并保持仪器原有检测性能、控制逻辑及正常使用不受影响。</w:t>
      </w:r>
    </w:p>
    <w:p w14:paraId="78BC67E9"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7</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涉及仪器厂商、配套中间软件或者</w:t>
      </w:r>
      <w:proofErr w:type="gramStart"/>
      <w:r>
        <w:rPr>
          <w:rFonts w:ascii="Times New Roman" w:eastAsia="仿宋_GB2312" w:hAnsi="仿宋_GB2312" w:cs="Times New Roman"/>
          <w:color w:val="000000"/>
          <w:spacing w:val="-5"/>
          <w:sz w:val="32"/>
          <w:szCs w:val="32"/>
        </w:rPr>
        <w:t>其他第三</w:t>
      </w:r>
      <w:proofErr w:type="gramEnd"/>
      <w:r>
        <w:rPr>
          <w:rFonts w:ascii="Times New Roman" w:eastAsia="仿宋_GB2312" w:hAnsi="仿宋_GB2312" w:cs="Times New Roman"/>
          <w:color w:val="000000"/>
          <w:spacing w:val="-5"/>
          <w:sz w:val="32"/>
          <w:szCs w:val="32"/>
        </w:rPr>
        <w:t>方技术配合的，供应商应负责技术协调并推动问题解决，确保</w:t>
      </w:r>
      <w:r>
        <w:rPr>
          <w:rFonts w:ascii="Times New Roman" w:eastAsia="仿宋_GB2312" w:hAnsi="仿宋_GB2312" w:cs="Times New Roman" w:hint="eastAsia"/>
          <w:color w:val="000000"/>
          <w:spacing w:val="-5"/>
          <w:sz w:val="32"/>
          <w:szCs w:val="32"/>
        </w:rPr>
        <w:t>36</w:t>
      </w:r>
      <w:r>
        <w:rPr>
          <w:rFonts w:ascii="Times New Roman" w:eastAsia="仿宋_GB2312" w:hAnsi="仿宋_GB2312" w:cs="Times New Roman" w:hint="eastAsia"/>
          <w:color w:val="000000"/>
          <w:spacing w:val="-5"/>
          <w:sz w:val="32"/>
          <w:szCs w:val="32"/>
        </w:rPr>
        <w:t>台</w:t>
      </w:r>
      <w:r>
        <w:rPr>
          <w:rFonts w:ascii="Times New Roman" w:eastAsia="仿宋_GB2312" w:hAnsi="仿宋_GB2312" w:cs="Times New Roman" w:hint="eastAsia"/>
          <w:color w:val="000000"/>
          <w:spacing w:val="-5"/>
          <w:sz w:val="32"/>
          <w:szCs w:val="32"/>
        </w:rPr>
        <w:t>/</w:t>
      </w:r>
      <w:r>
        <w:rPr>
          <w:rFonts w:ascii="Times New Roman" w:eastAsia="仿宋_GB2312" w:hAnsi="仿宋_GB2312" w:cs="Times New Roman" w:hint="eastAsia"/>
          <w:color w:val="000000"/>
          <w:spacing w:val="-5"/>
          <w:sz w:val="32"/>
          <w:szCs w:val="32"/>
        </w:rPr>
        <w:t>套</w:t>
      </w:r>
      <w:r>
        <w:rPr>
          <w:rFonts w:ascii="Times New Roman" w:eastAsia="仿宋_GB2312" w:hAnsi="仿宋_GB2312" w:cs="Times New Roman"/>
          <w:color w:val="000000"/>
          <w:spacing w:val="-5"/>
          <w:sz w:val="32"/>
          <w:szCs w:val="32"/>
        </w:rPr>
        <w:t>检验仪器均具备约定的联机使用条件。</w:t>
      </w:r>
    </w:p>
    <w:p w14:paraId="007AFF74" w14:textId="77777777" w:rsidR="002F758E" w:rsidRDefault="00000000">
      <w:pPr>
        <w:pStyle w:val="2"/>
        <w:spacing w:line="592" w:lineRule="exact"/>
        <w:ind w:firstLineChars="200" w:firstLine="630"/>
        <w:jc w:val="both"/>
      </w:pPr>
      <w:r>
        <w:rPr>
          <w:rFonts w:ascii="Times New Roman" w:eastAsia="楷体_GB2312" w:hAnsi="楷体_GB2312" w:cs="Times New Roman"/>
          <w:color w:val="000000"/>
          <w:spacing w:val="-5"/>
          <w:sz w:val="32"/>
          <w:szCs w:val="32"/>
        </w:rPr>
        <w:t>（二）联机数据交互、异常处置与测试要求</w:t>
      </w:r>
    </w:p>
    <w:p w14:paraId="1EA48399"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单向联机仪器应将检测结果准确传送至</w:t>
      </w:r>
      <w:r>
        <w:rPr>
          <w:rFonts w:ascii="Times New Roman" w:eastAsia="仿宋_GB2312" w:hAnsi="仿宋_GB2312" w:cs="Times New Roman"/>
          <w:color w:val="000000"/>
          <w:spacing w:val="-5"/>
          <w:sz w:val="32"/>
          <w:szCs w:val="32"/>
        </w:rPr>
        <w:t>LIS</w:t>
      </w:r>
      <w:r>
        <w:rPr>
          <w:rFonts w:ascii="Times New Roman" w:eastAsia="仿宋_GB2312" w:hAnsi="仿宋_GB2312" w:cs="Times New Roman"/>
          <w:color w:val="000000"/>
          <w:spacing w:val="-5"/>
          <w:sz w:val="32"/>
          <w:szCs w:val="32"/>
        </w:rPr>
        <w:t>系统；具备双向通信条件的仪器，应按确认的业务范围完成检验申请或者标本信息下发、接收确认和检测结果回传。</w:t>
      </w:r>
    </w:p>
    <w:p w14:paraId="54F35D15"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联机数据应与患者、检验申请、标本及检验项目准确关联，并进入相应院区、检验科室、专业组和报告单元。</w:t>
      </w:r>
    </w:p>
    <w:p w14:paraId="32FAB635"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供应商应完成</w:t>
      </w:r>
      <w:r>
        <w:rPr>
          <w:rFonts w:ascii="Times New Roman" w:eastAsia="仿宋_GB2312" w:hAnsi="仿宋_GB2312" w:cs="Times New Roman"/>
          <w:color w:val="000000"/>
          <w:spacing w:val="-5"/>
          <w:sz w:val="32"/>
          <w:szCs w:val="32"/>
        </w:rPr>
        <w:t>LIS</w:t>
      </w:r>
      <w:r>
        <w:rPr>
          <w:rFonts w:ascii="Times New Roman" w:eastAsia="仿宋_GB2312" w:hAnsi="仿宋_GB2312" w:cs="Times New Roman"/>
          <w:color w:val="000000"/>
          <w:spacing w:val="-5"/>
          <w:sz w:val="32"/>
          <w:szCs w:val="32"/>
        </w:rPr>
        <w:t>系统与仪器之间的检验项目、标本类型、结果单位、参考范围、结果状态和异常标识等代码映射，并逐项核对映射关系。</w:t>
      </w:r>
    </w:p>
    <w:p w14:paraId="46037467"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4</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仪器上传的数值、定性描述、文本结果和异常标识应按原始含义写入相应检验项目，结果值、精度、单位和状态应保持一致。</w:t>
      </w:r>
    </w:p>
    <w:p w14:paraId="691383C0"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5</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同一标本发生重复检测、复查或者结果更新时，系统应按医院确认的业务规则处理相关结果，确保结果归属、版本和状态准确。</w:t>
      </w:r>
    </w:p>
    <w:p w14:paraId="51B02A1C"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6</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仪器检测结果接收后，应继续执行医院现有</w:t>
      </w:r>
      <w:r>
        <w:rPr>
          <w:rFonts w:ascii="Times New Roman" w:eastAsia="仿宋_GB2312" w:hAnsi="仿宋_GB2312" w:cs="Times New Roman"/>
          <w:color w:val="000000"/>
          <w:spacing w:val="-5"/>
          <w:sz w:val="32"/>
          <w:szCs w:val="32"/>
        </w:rPr>
        <w:t>LIS</w:t>
      </w:r>
      <w:r>
        <w:rPr>
          <w:rFonts w:ascii="Times New Roman" w:eastAsia="仿宋_GB2312" w:hAnsi="仿宋_GB2312" w:cs="Times New Roman"/>
          <w:color w:val="000000"/>
          <w:spacing w:val="-5"/>
          <w:sz w:val="32"/>
          <w:szCs w:val="32"/>
        </w:rPr>
        <w:t>审核、发布和报告管理规则；涉及微生物培养、鉴定药</w:t>
      </w:r>
      <w:proofErr w:type="gramStart"/>
      <w:r>
        <w:rPr>
          <w:rFonts w:ascii="Times New Roman" w:eastAsia="仿宋_GB2312" w:hAnsi="仿宋_GB2312" w:cs="Times New Roman"/>
          <w:color w:val="000000"/>
          <w:spacing w:val="-5"/>
          <w:sz w:val="32"/>
          <w:szCs w:val="32"/>
        </w:rPr>
        <w:t>敏或者</w:t>
      </w:r>
      <w:proofErr w:type="gramEnd"/>
      <w:r>
        <w:rPr>
          <w:rFonts w:ascii="Times New Roman" w:eastAsia="仿宋_GB2312" w:hAnsi="仿宋_GB2312" w:cs="Times New Roman"/>
          <w:color w:val="000000"/>
          <w:spacing w:val="-5"/>
          <w:sz w:val="32"/>
          <w:szCs w:val="32"/>
        </w:rPr>
        <w:t>其他专用业务的，应保持相应业务环节、结果结构和报告方式连续。</w:t>
      </w:r>
    </w:p>
    <w:p w14:paraId="43E7DB74"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7</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系统应自动识别仪器通信中断、连接异常和数据传输失败，</w:t>
      </w:r>
      <w:proofErr w:type="gramStart"/>
      <w:r>
        <w:rPr>
          <w:rFonts w:ascii="Times New Roman" w:eastAsia="仿宋_GB2312" w:hAnsi="仿宋_GB2312" w:cs="Times New Roman"/>
          <w:color w:val="000000"/>
          <w:spacing w:val="-5"/>
          <w:sz w:val="32"/>
          <w:szCs w:val="32"/>
        </w:rPr>
        <w:t>作出</w:t>
      </w:r>
      <w:proofErr w:type="gramEnd"/>
      <w:r>
        <w:rPr>
          <w:rFonts w:ascii="Times New Roman" w:eastAsia="仿宋_GB2312" w:hAnsi="仿宋_GB2312" w:cs="Times New Roman"/>
          <w:color w:val="000000"/>
          <w:spacing w:val="-5"/>
          <w:sz w:val="32"/>
          <w:szCs w:val="32"/>
        </w:rPr>
        <w:t>明确提示并持续</w:t>
      </w:r>
      <w:proofErr w:type="gramStart"/>
      <w:r>
        <w:rPr>
          <w:rFonts w:ascii="Times New Roman" w:eastAsia="仿宋_GB2312" w:hAnsi="仿宋_GB2312" w:cs="Times New Roman"/>
          <w:color w:val="000000"/>
          <w:spacing w:val="-5"/>
          <w:sz w:val="32"/>
          <w:szCs w:val="32"/>
        </w:rPr>
        <w:t>尝试重</w:t>
      </w:r>
      <w:proofErr w:type="gramEnd"/>
      <w:r>
        <w:rPr>
          <w:rFonts w:ascii="Times New Roman" w:eastAsia="仿宋_GB2312" w:hAnsi="仿宋_GB2312" w:cs="Times New Roman"/>
          <w:color w:val="000000"/>
          <w:spacing w:val="-5"/>
          <w:sz w:val="32"/>
          <w:szCs w:val="32"/>
        </w:rPr>
        <w:t>连；通信恢复后应继续运行，无需重启软件。</w:t>
      </w:r>
    </w:p>
    <w:p w14:paraId="49338810"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8</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通信恢复后，</w:t>
      </w:r>
      <w:proofErr w:type="gramStart"/>
      <w:r>
        <w:rPr>
          <w:rFonts w:ascii="Times New Roman" w:eastAsia="仿宋_GB2312" w:hAnsi="仿宋_GB2312" w:cs="Times New Roman"/>
          <w:color w:val="000000"/>
          <w:spacing w:val="-5"/>
          <w:sz w:val="32"/>
          <w:szCs w:val="32"/>
        </w:rPr>
        <w:t>需要补传的</w:t>
      </w:r>
      <w:proofErr w:type="gramEnd"/>
      <w:r>
        <w:rPr>
          <w:rFonts w:ascii="Times New Roman" w:eastAsia="仿宋_GB2312" w:hAnsi="仿宋_GB2312" w:cs="Times New Roman"/>
          <w:color w:val="000000"/>
          <w:spacing w:val="-5"/>
          <w:sz w:val="32"/>
          <w:szCs w:val="32"/>
        </w:rPr>
        <w:t>数据应按既定规则</w:t>
      </w:r>
      <w:proofErr w:type="gramStart"/>
      <w:r>
        <w:rPr>
          <w:rFonts w:ascii="Times New Roman" w:eastAsia="仿宋_GB2312" w:hAnsi="仿宋_GB2312" w:cs="Times New Roman"/>
          <w:color w:val="000000"/>
          <w:spacing w:val="-5"/>
          <w:sz w:val="32"/>
          <w:szCs w:val="32"/>
        </w:rPr>
        <w:t>完成补传和</w:t>
      </w:r>
      <w:proofErr w:type="gramEnd"/>
      <w:r>
        <w:rPr>
          <w:rFonts w:ascii="Times New Roman" w:eastAsia="仿宋_GB2312" w:hAnsi="仿宋_GB2312" w:cs="Times New Roman"/>
          <w:color w:val="000000"/>
          <w:spacing w:val="-5"/>
          <w:sz w:val="32"/>
          <w:szCs w:val="32"/>
        </w:rPr>
        <w:t>核对，防止数据遗漏、重复或者错误写入。</w:t>
      </w:r>
    </w:p>
    <w:p w14:paraId="786E7DE4"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9</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无法匹配患者、标本、项目或者代码的数据，以及内容不完整、格式异常或者超出预定规则的数据，应进入人工核对和处置流程，完成正确关联后方可继续处理。</w:t>
      </w:r>
    </w:p>
    <w:p w14:paraId="23976717"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10</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存在仪器报警、质控异常或者审核规则拦截的结果，应按医院现有业务规则进入复核流程；联机结果发生人工修改、重新接收或者更正时，应保留相应操作信息。</w:t>
      </w:r>
    </w:p>
    <w:p w14:paraId="546CC3CE"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11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正式接入生产环境前，每台仪器均应完成通信连通、代码映射和数据交互测试；单向联机应验</w:t>
      </w:r>
      <w:proofErr w:type="gramStart"/>
      <w:r>
        <w:rPr>
          <w:rFonts w:ascii="Times New Roman" w:eastAsia="仿宋_GB2312" w:hAnsi="仿宋_GB2312" w:cs="Times New Roman"/>
          <w:color w:val="000000"/>
          <w:spacing w:val="-5"/>
          <w:sz w:val="32"/>
          <w:szCs w:val="32"/>
        </w:rPr>
        <w:t>证结果</w:t>
      </w:r>
      <w:proofErr w:type="gramEnd"/>
      <w:r>
        <w:rPr>
          <w:rFonts w:ascii="Times New Roman" w:eastAsia="仿宋_GB2312" w:hAnsi="仿宋_GB2312" w:cs="Times New Roman"/>
          <w:color w:val="000000"/>
          <w:spacing w:val="-5"/>
          <w:sz w:val="32"/>
          <w:szCs w:val="32"/>
        </w:rPr>
        <w:t>上传及项目对应，双向联机还应验</w:t>
      </w:r>
      <w:proofErr w:type="gramStart"/>
      <w:r>
        <w:rPr>
          <w:rFonts w:ascii="Times New Roman" w:eastAsia="仿宋_GB2312" w:hAnsi="仿宋_GB2312" w:cs="Times New Roman"/>
          <w:color w:val="000000"/>
          <w:spacing w:val="-5"/>
          <w:sz w:val="32"/>
          <w:szCs w:val="32"/>
        </w:rPr>
        <w:t>证信息</w:t>
      </w:r>
      <w:proofErr w:type="gramEnd"/>
      <w:r>
        <w:rPr>
          <w:rFonts w:ascii="Times New Roman" w:eastAsia="仿宋_GB2312" w:hAnsi="仿宋_GB2312" w:cs="Times New Roman"/>
          <w:color w:val="000000"/>
          <w:spacing w:val="-5"/>
          <w:sz w:val="32"/>
          <w:szCs w:val="32"/>
        </w:rPr>
        <w:t>下发、接收确认和结果回传。</w:t>
      </w:r>
    </w:p>
    <w:p w14:paraId="0FD2160E"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逐台测试应覆盖正常数据、异常数据、通信中断及恢复等场景，核对结果值、格式、单位、参考范围、异常标识和结果状态，并与仪器实际联机方式相匹配。</w:t>
      </w:r>
    </w:p>
    <w:p w14:paraId="14C399E2"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供应商应为每台仪器形成联机配置、测试过程、测试数据、问题整改和确认记录；参数调整或者问题整改后，应对受影响功能重新测试。</w:t>
      </w:r>
    </w:p>
    <w:p w14:paraId="030C9224"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14</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仪器上线后应持续观察联机运行情况，对数据遗漏、重复、错配和状态异常逐项整改并复测，形成可供商务验收使用的</w:t>
      </w:r>
      <w:proofErr w:type="gramStart"/>
      <w:r>
        <w:rPr>
          <w:rFonts w:ascii="Times New Roman" w:eastAsia="仿宋_GB2312" w:hAnsi="仿宋_GB2312" w:cs="Times New Roman"/>
          <w:color w:val="000000"/>
          <w:spacing w:val="-5"/>
          <w:sz w:val="32"/>
          <w:szCs w:val="32"/>
        </w:rPr>
        <w:t>完整技术</w:t>
      </w:r>
      <w:proofErr w:type="gramEnd"/>
      <w:r>
        <w:rPr>
          <w:rFonts w:ascii="Times New Roman" w:eastAsia="仿宋_GB2312" w:hAnsi="仿宋_GB2312" w:cs="Times New Roman"/>
          <w:color w:val="000000"/>
          <w:spacing w:val="-5"/>
          <w:sz w:val="32"/>
          <w:szCs w:val="32"/>
        </w:rPr>
        <w:t>记录。</w:t>
      </w:r>
    </w:p>
    <w:p w14:paraId="620FC515"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15</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未通过联机测试的仪器不得投入正式联机使用；技术测试结论作为项目验收的技术依据，项目验收程序和验收结论按商务要求执行。</w:t>
      </w:r>
    </w:p>
    <w:p w14:paraId="7A0D8568" w14:textId="77777777" w:rsidR="002F758E" w:rsidRDefault="00000000">
      <w:pPr>
        <w:pStyle w:val="2"/>
        <w:spacing w:line="592" w:lineRule="exact"/>
        <w:ind w:firstLineChars="200" w:firstLine="630"/>
        <w:jc w:val="both"/>
      </w:pPr>
      <w:r>
        <w:rPr>
          <w:rFonts w:ascii="Times New Roman" w:eastAsia="楷体_GB2312" w:hAnsi="楷体_GB2312" w:cs="Times New Roman"/>
          <w:color w:val="000000"/>
          <w:spacing w:val="-5"/>
          <w:sz w:val="32"/>
          <w:szCs w:val="32"/>
        </w:rPr>
        <w:t>（三）系统升级、两院区协同及兼容要求</w:t>
      </w:r>
    </w:p>
    <w:p w14:paraId="23150F44"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升级改造后的</w:t>
      </w:r>
      <w:r>
        <w:rPr>
          <w:rFonts w:ascii="Times New Roman" w:eastAsia="仿宋_GB2312" w:hAnsi="仿宋_GB2312" w:cs="Times New Roman"/>
          <w:color w:val="000000"/>
          <w:spacing w:val="-5"/>
          <w:sz w:val="32"/>
          <w:szCs w:val="32"/>
        </w:rPr>
        <w:t>LIS</w:t>
      </w:r>
      <w:r>
        <w:rPr>
          <w:rFonts w:ascii="Times New Roman" w:eastAsia="仿宋_GB2312" w:hAnsi="仿宋_GB2312" w:cs="Times New Roman"/>
          <w:color w:val="000000"/>
          <w:spacing w:val="-5"/>
          <w:sz w:val="32"/>
          <w:szCs w:val="32"/>
        </w:rPr>
        <w:t>系统应统一覆盖新、旧院区，使用统一的基础数据、业务规则和管理体系，并支持按院区、科室、实验室、专业组和仪器分层管理。</w:t>
      </w:r>
    </w:p>
    <w:p w14:paraId="289F0937" w14:textId="77777777" w:rsidR="00C35195" w:rsidRDefault="00000000">
      <w:pPr>
        <w:pStyle w:val="3"/>
        <w:spacing w:line="592" w:lineRule="exact"/>
        <w:ind w:firstLineChars="200" w:firstLine="630"/>
        <w:jc w:val="both"/>
        <w:rPr>
          <w:rFonts w:ascii="Times New Roman" w:eastAsia="仿宋_GB2312" w:hAnsi="仿宋_GB2312" w:cs="Times New Roman"/>
          <w:color w:val="000000"/>
          <w:spacing w:val="-5"/>
          <w:sz w:val="32"/>
          <w:szCs w:val="32"/>
        </w:rPr>
      </w:pPr>
      <w:r>
        <w:rPr>
          <w:rFonts w:ascii="Times New Roman" w:eastAsia="仿宋_GB2312" w:hAnsi="仿宋_GB2312" w:cs="Times New Roman"/>
          <w:color w:val="000000"/>
          <w:spacing w:val="-5"/>
          <w:sz w:val="32"/>
          <w:szCs w:val="32"/>
        </w:rPr>
        <w:t>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升级改造应确保不取消、</w:t>
      </w:r>
      <w:proofErr w:type="gramStart"/>
      <w:r>
        <w:rPr>
          <w:rFonts w:ascii="Times New Roman" w:eastAsia="仿宋_GB2312" w:hAnsi="仿宋_GB2312" w:cs="Times New Roman"/>
          <w:color w:val="000000"/>
          <w:spacing w:val="-5"/>
          <w:sz w:val="32"/>
          <w:szCs w:val="32"/>
        </w:rPr>
        <w:t>不</w:t>
      </w:r>
      <w:proofErr w:type="gramEnd"/>
      <w:r>
        <w:rPr>
          <w:rFonts w:ascii="Times New Roman" w:eastAsia="仿宋_GB2312" w:hAnsi="仿宋_GB2312" w:cs="Times New Roman"/>
          <w:color w:val="000000"/>
          <w:spacing w:val="-5"/>
          <w:sz w:val="32"/>
          <w:szCs w:val="32"/>
        </w:rPr>
        <w:t>弱化、不限制原系统已有功能、个性化开发、历史数据及使用权益；确需调整实现方式</w:t>
      </w:r>
    </w:p>
    <w:p w14:paraId="769F36A4" w14:textId="7D07A056" w:rsidR="002F758E" w:rsidRDefault="00000000" w:rsidP="00C35195">
      <w:pPr>
        <w:pStyle w:val="3"/>
        <w:spacing w:line="592" w:lineRule="exact"/>
        <w:jc w:val="both"/>
      </w:pPr>
      <w:r>
        <w:rPr>
          <w:rFonts w:ascii="Times New Roman" w:eastAsia="仿宋_GB2312" w:hAnsi="仿宋_GB2312" w:cs="Times New Roman"/>
          <w:color w:val="000000"/>
          <w:spacing w:val="-5"/>
          <w:sz w:val="32"/>
          <w:szCs w:val="32"/>
        </w:rPr>
        <w:lastRenderedPageBreak/>
        <w:t>的，调整后的业务结果、数据连续性和使用范围不得低于改造前水平。</w:t>
      </w:r>
    </w:p>
    <w:p w14:paraId="5039A9AD"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既有业务规则、数据和个性化开发成果应完整承接，确保升级改造前后业务连续、数据一致。</w:t>
      </w:r>
    </w:p>
    <w:p w14:paraId="0C7E6E1D"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4</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t>LIS</w:t>
      </w:r>
      <w:r>
        <w:rPr>
          <w:rFonts w:ascii="Times New Roman" w:eastAsia="仿宋_GB2312" w:hAnsi="仿宋_GB2312" w:cs="Times New Roman"/>
          <w:color w:val="000000"/>
          <w:spacing w:val="-5"/>
          <w:sz w:val="32"/>
          <w:szCs w:val="32"/>
        </w:rPr>
        <w:t>系统应覆盖检验分析前、中、后全过程，保持业务衔接、信息跟踪和质量控制，并支持按医院管理要求调整检验流程、业务参数和个性化配置。</w:t>
      </w:r>
    </w:p>
    <w:p w14:paraId="58084C18"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5</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检验申请项目应支持按院区和检验科室分别配置属性，满足申请、标签、采集、流转、报告时限和床旁检验等业务管理需要。</w:t>
      </w:r>
    </w:p>
    <w:p w14:paraId="124F1212"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6</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系统应与医院现有集成平台、</w:t>
      </w:r>
      <w:r>
        <w:rPr>
          <w:rFonts w:ascii="Times New Roman" w:eastAsia="仿宋_GB2312" w:hAnsi="仿宋_GB2312" w:cs="Times New Roman"/>
          <w:color w:val="000000"/>
          <w:spacing w:val="-5"/>
          <w:sz w:val="32"/>
          <w:szCs w:val="32"/>
        </w:rPr>
        <w:t>HIS</w:t>
      </w:r>
      <w:r>
        <w:rPr>
          <w:rFonts w:ascii="Times New Roman" w:eastAsia="仿宋_GB2312" w:hAnsi="仿宋_GB2312" w:cs="Times New Roman"/>
          <w:color w:val="000000"/>
          <w:spacing w:val="-5"/>
          <w:sz w:val="32"/>
          <w:szCs w:val="32"/>
        </w:rPr>
        <w:t>和</w:t>
      </w:r>
      <w:r>
        <w:rPr>
          <w:rFonts w:ascii="Times New Roman" w:eastAsia="仿宋_GB2312" w:hAnsi="仿宋_GB2312" w:cs="Times New Roman"/>
          <w:color w:val="000000"/>
          <w:spacing w:val="-5"/>
          <w:sz w:val="32"/>
          <w:szCs w:val="32"/>
        </w:rPr>
        <w:t>CA</w:t>
      </w:r>
      <w:r>
        <w:rPr>
          <w:rFonts w:ascii="Times New Roman" w:eastAsia="仿宋_GB2312" w:hAnsi="仿宋_GB2312" w:cs="Times New Roman"/>
          <w:color w:val="000000"/>
          <w:spacing w:val="-5"/>
          <w:sz w:val="32"/>
          <w:szCs w:val="32"/>
        </w:rPr>
        <w:t>电子签名系统兼容，保留既有</w:t>
      </w:r>
      <w:r>
        <w:rPr>
          <w:rFonts w:ascii="Times New Roman" w:eastAsia="仿宋_GB2312" w:hAnsi="仿宋_GB2312" w:cs="Times New Roman"/>
          <w:color w:val="000000"/>
          <w:spacing w:val="-5"/>
          <w:sz w:val="32"/>
          <w:szCs w:val="32"/>
        </w:rPr>
        <w:t>API</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Web Services</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HL7</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FHIR</w:t>
      </w:r>
      <w:r>
        <w:rPr>
          <w:rFonts w:ascii="Times New Roman" w:eastAsia="仿宋_GB2312" w:hAnsi="仿宋_GB2312" w:cs="Times New Roman"/>
          <w:color w:val="000000"/>
          <w:spacing w:val="-5"/>
          <w:sz w:val="32"/>
          <w:szCs w:val="32"/>
        </w:rPr>
        <w:t>及检验报告展现能力，保持检验数据实时交换、结果共享、跨机构实时交换和移动</w:t>
      </w:r>
      <w:proofErr w:type="gramStart"/>
      <w:r>
        <w:rPr>
          <w:rFonts w:ascii="Times New Roman" w:eastAsia="仿宋_GB2312" w:hAnsi="仿宋_GB2312" w:cs="Times New Roman"/>
          <w:color w:val="000000"/>
          <w:spacing w:val="-5"/>
          <w:sz w:val="32"/>
          <w:szCs w:val="32"/>
        </w:rPr>
        <w:t>端报告</w:t>
      </w:r>
      <w:proofErr w:type="gramEnd"/>
      <w:r>
        <w:rPr>
          <w:rFonts w:ascii="Times New Roman" w:eastAsia="仿宋_GB2312" w:hAnsi="仿宋_GB2312" w:cs="Times New Roman"/>
          <w:color w:val="000000"/>
          <w:spacing w:val="-5"/>
          <w:sz w:val="32"/>
          <w:szCs w:val="32"/>
        </w:rPr>
        <w:t>查询推送正常运行。</w:t>
      </w:r>
    </w:p>
    <w:p w14:paraId="3B9E6033"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7</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本项目应复用现有外部业务接口；升级改造后，既有接口的业务结果不得受到影响。</w:t>
      </w:r>
    </w:p>
    <w:p w14:paraId="2D6884FC"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8</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系统应符合现行有效的《全国医院信息化建设标准与规范（试行）》中涉及检验业务的要求，并满足电子病历、互联互通及智慧医院评级中有关数据标准化、过程追溯、质量控制和数据交换的要求。</w:t>
      </w:r>
    </w:p>
    <w:p w14:paraId="6E80CA1E"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9</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医学实验室质量管理功能应符合</w:t>
      </w:r>
      <w:r>
        <w:rPr>
          <w:rFonts w:ascii="Times New Roman" w:eastAsia="仿宋_GB2312" w:hAnsi="仿宋_GB2312" w:cs="Times New Roman"/>
          <w:color w:val="000000"/>
          <w:spacing w:val="-5"/>
          <w:sz w:val="32"/>
          <w:szCs w:val="32"/>
        </w:rPr>
        <w:t>CNAS-CL02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2023</w:t>
      </w:r>
      <w:r>
        <w:rPr>
          <w:rFonts w:ascii="Times New Roman" w:eastAsia="仿宋_GB2312" w:hAnsi="仿宋_GB2312" w:cs="Times New Roman"/>
          <w:color w:val="000000"/>
          <w:spacing w:val="-5"/>
          <w:sz w:val="32"/>
          <w:szCs w:val="32"/>
        </w:rPr>
        <w:t>《医学实验室质量和能力认可准则》的相关要求。</w:t>
      </w:r>
    </w:p>
    <w:p w14:paraId="1D029931"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10</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检验质量指标管理应符合</w:t>
      </w:r>
      <w:r>
        <w:rPr>
          <w:rFonts w:ascii="Times New Roman" w:eastAsia="仿宋_GB2312" w:hAnsi="仿宋_GB2312" w:cs="Times New Roman"/>
          <w:color w:val="000000"/>
          <w:spacing w:val="-5"/>
          <w:sz w:val="32"/>
          <w:szCs w:val="32"/>
        </w:rPr>
        <w:t>WS/T 496</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2017</w:t>
      </w:r>
      <w:r>
        <w:rPr>
          <w:rFonts w:ascii="Times New Roman" w:eastAsia="仿宋_GB2312" w:hAnsi="仿宋_GB2312" w:cs="Times New Roman"/>
          <w:color w:val="000000"/>
          <w:spacing w:val="-5"/>
          <w:sz w:val="32"/>
          <w:szCs w:val="32"/>
        </w:rPr>
        <w:t>《临床实验室质量指标》的相关要求；检验结果自动审核应符合</w:t>
      </w:r>
      <w:r>
        <w:rPr>
          <w:rFonts w:ascii="Times New Roman" w:eastAsia="仿宋_GB2312" w:hAnsi="仿宋_GB2312" w:cs="Times New Roman"/>
          <w:color w:val="000000"/>
          <w:spacing w:val="-5"/>
          <w:sz w:val="32"/>
          <w:szCs w:val="32"/>
        </w:rPr>
        <w:t>WS/T 616</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2018</w:t>
      </w:r>
      <w:r>
        <w:rPr>
          <w:rFonts w:ascii="Times New Roman" w:eastAsia="仿宋_GB2312" w:hAnsi="仿宋_GB2312" w:cs="Times New Roman"/>
          <w:color w:val="000000"/>
          <w:spacing w:val="-5"/>
          <w:sz w:val="32"/>
          <w:szCs w:val="32"/>
        </w:rPr>
        <w:t>及现行有效的相关规范要求。</w:t>
      </w:r>
    </w:p>
    <w:p w14:paraId="1C9A9FFD"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实验室管理应以</w:t>
      </w:r>
      <w:r>
        <w:rPr>
          <w:rFonts w:ascii="Times New Roman" w:eastAsia="仿宋_GB2312" w:hAnsi="仿宋_GB2312" w:cs="Times New Roman"/>
          <w:color w:val="000000"/>
          <w:spacing w:val="-5"/>
          <w:sz w:val="32"/>
          <w:szCs w:val="32"/>
        </w:rPr>
        <w:t>5M1E</w:t>
      </w:r>
      <w:r>
        <w:rPr>
          <w:rFonts w:ascii="Times New Roman" w:eastAsia="仿宋_GB2312" w:hAnsi="仿宋_GB2312" w:cs="Times New Roman"/>
          <w:color w:val="000000"/>
          <w:spacing w:val="-5"/>
          <w:sz w:val="32"/>
          <w:szCs w:val="32"/>
        </w:rPr>
        <w:t>为基础，覆盖人、机、料、法、环、样、</w:t>
      </w:r>
      <w:proofErr w:type="gramStart"/>
      <w:r>
        <w:rPr>
          <w:rFonts w:ascii="Times New Roman" w:eastAsia="仿宋_GB2312" w:hAnsi="仿宋_GB2312" w:cs="Times New Roman"/>
          <w:color w:val="000000"/>
          <w:spacing w:val="-5"/>
          <w:sz w:val="32"/>
          <w:szCs w:val="32"/>
        </w:rPr>
        <w:t>测等管理</w:t>
      </w:r>
      <w:proofErr w:type="gramEnd"/>
      <w:r>
        <w:rPr>
          <w:rFonts w:ascii="Times New Roman" w:eastAsia="仿宋_GB2312" w:hAnsi="仿宋_GB2312" w:cs="Times New Roman"/>
          <w:color w:val="000000"/>
          <w:spacing w:val="-5"/>
          <w:sz w:val="32"/>
          <w:szCs w:val="32"/>
        </w:rPr>
        <w:t>要素，并支持工作站、移动终端和互联网应用。</w:t>
      </w:r>
    </w:p>
    <w:p w14:paraId="5859A384"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系统应支持报告库、生产库和历史库分离管理，并依据用户职责提供任务、异常记录、工作完成情况和关键指标等业务信息。</w:t>
      </w:r>
    </w:p>
    <w:p w14:paraId="37739038"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系统应按功能、时间和空间维度设置用户组、角色和操作权限，授权范围应细化到业务操作、业务组和具体仪器；同一套系统的参数应支持按全局、工作组、报告单元、仪器和本地分层配置。</w:t>
      </w:r>
    </w:p>
    <w:p w14:paraId="6782E548"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14</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系统应记录用户使用情况，支持自动屏幕保护、密码定期更新、登录二次加密和数字认证；仪器操作权限应与培训、考试和上岗管理联动，支持电子签名和电子印章。</w:t>
      </w:r>
    </w:p>
    <w:p w14:paraId="390515E4" w14:textId="77777777" w:rsidR="002F758E" w:rsidRDefault="00000000" w:rsidP="00C35195">
      <w:pPr>
        <w:pStyle w:val="3"/>
        <w:spacing w:line="640" w:lineRule="exact"/>
        <w:ind w:firstLineChars="200" w:firstLine="630"/>
        <w:jc w:val="both"/>
      </w:pPr>
      <w:r>
        <w:rPr>
          <w:rFonts w:ascii="Times New Roman" w:eastAsia="仿宋_GB2312" w:hAnsi="仿宋_GB2312" w:cs="Times New Roman"/>
          <w:color w:val="000000"/>
          <w:spacing w:val="-5"/>
          <w:sz w:val="32"/>
          <w:szCs w:val="32"/>
        </w:rPr>
        <w:t>15</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同一版本系统应支持主流数据库部署，并具备国产处理器、操作系统、数据库及国产虚拟</w:t>
      </w:r>
      <w:proofErr w:type="gramStart"/>
      <w:r>
        <w:rPr>
          <w:rFonts w:ascii="Times New Roman" w:eastAsia="仿宋_GB2312" w:hAnsi="仿宋_GB2312" w:cs="Times New Roman"/>
          <w:color w:val="000000"/>
          <w:spacing w:val="-5"/>
          <w:sz w:val="32"/>
          <w:szCs w:val="32"/>
        </w:rPr>
        <w:t>化或者</w:t>
      </w:r>
      <w:proofErr w:type="gramEnd"/>
      <w:r>
        <w:rPr>
          <w:rFonts w:ascii="Times New Roman" w:eastAsia="仿宋_GB2312" w:hAnsi="仿宋_GB2312" w:cs="Times New Roman"/>
          <w:color w:val="000000"/>
          <w:spacing w:val="-5"/>
          <w:sz w:val="32"/>
          <w:szCs w:val="32"/>
        </w:rPr>
        <w:t>超融合平台的适配能力。</w:t>
      </w:r>
    </w:p>
    <w:p w14:paraId="1EAE2F1D" w14:textId="77777777" w:rsidR="002F758E" w:rsidRDefault="00000000" w:rsidP="00C35195">
      <w:pPr>
        <w:pStyle w:val="3"/>
        <w:spacing w:line="640" w:lineRule="exact"/>
        <w:ind w:firstLineChars="200" w:firstLine="630"/>
        <w:jc w:val="both"/>
      </w:pPr>
      <w:r>
        <w:rPr>
          <w:rFonts w:ascii="Times New Roman" w:eastAsia="仿宋_GB2312" w:hAnsi="仿宋_GB2312" w:cs="Times New Roman"/>
          <w:color w:val="000000"/>
          <w:spacing w:val="-5"/>
          <w:sz w:val="32"/>
          <w:szCs w:val="32"/>
        </w:rPr>
        <w:t>16</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本项目应使用医院现有服务器、存储、数据库、中间件和备份资源，</w:t>
      </w:r>
      <w:proofErr w:type="gramStart"/>
      <w:r>
        <w:rPr>
          <w:rFonts w:ascii="Times New Roman" w:eastAsia="仿宋_GB2312" w:hAnsi="仿宋_GB2312" w:cs="Times New Roman"/>
          <w:color w:val="000000"/>
          <w:spacing w:val="-5"/>
          <w:sz w:val="32"/>
          <w:szCs w:val="32"/>
        </w:rPr>
        <w:t>不</w:t>
      </w:r>
      <w:proofErr w:type="gramEnd"/>
      <w:r>
        <w:rPr>
          <w:rFonts w:ascii="Times New Roman" w:eastAsia="仿宋_GB2312" w:hAnsi="仿宋_GB2312" w:cs="Times New Roman"/>
          <w:color w:val="000000"/>
          <w:spacing w:val="-5"/>
          <w:sz w:val="32"/>
          <w:szCs w:val="32"/>
        </w:rPr>
        <w:t>新增基础硬件。</w:t>
      </w:r>
    </w:p>
    <w:p w14:paraId="39EA6892" w14:textId="77777777" w:rsidR="002F758E" w:rsidRDefault="00000000">
      <w:pPr>
        <w:pStyle w:val="2"/>
        <w:spacing w:line="592" w:lineRule="exact"/>
        <w:ind w:firstLineChars="200" w:firstLine="630"/>
        <w:jc w:val="both"/>
      </w:pPr>
      <w:r>
        <w:rPr>
          <w:rFonts w:ascii="Times New Roman" w:eastAsia="楷体_GB2312" w:hAnsi="楷体_GB2312" w:cs="Times New Roman"/>
          <w:color w:val="000000"/>
          <w:spacing w:val="-5"/>
          <w:sz w:val="32"/>
          <w:szCs w:val="32"/>
        </w:rPr>
        <w:t>（四）微生物</w:t>
      </w:r>
      <w:proofErr w:type="gramStart"/>
      <w:r>
        <w:rPr>
          <w:rFonts w:ascii="Times New Roman" w:eastAsia="楷体_GB2312" w:hAnsi="楷体_GB2312" w:cs="Times New Roman"/>
          <w:color w:val="000000"/>
          <w:spacing w:val="-5"/>
          <w:sz w:val="32"/>
          <w:szCs w:val="32"/>
        </w:rPr>
        <w:t>及院感业务</w:t>
      </w:r>
      <w:proofErr w:type="gramEnd"/>
      <w:r>
        <w:rPr>
          <w:rFonts w:ascii="Times New Roman" w:eastAsia="楷体_GB2312" w:hAnsi="楷体_GB2312" w:cs="Times New Roman"/>
          <w:color w:val="000000"/>
          <w:spacing w:val="-5"/>
          <w:sz w:val="32"/>
          <w:szCs w:val="32"/>
        </w:rPr>
        <w:t>管理</w:t>
      </w:r>
    </w:p>
    <w:p w14:paraId="742BF2FA"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微生物检验应实现全过程电子化、标准化和自动化，覆盖标本接收、培养、鉴定药敏、报告发布和危急值处理；标本、培养皿、</w:t>
      </w:r>
      <w:proofErr w:type="gramStart"/>
      <w:r>
        <w:rPr>
          <w:rFonts w:ascii="Times New Roman" w:eastAsia="仿宋_GB2312" w:hAnsi="仿宋_GB2312" w:cs="Times New Roman"/>
          <w:color w:val="000000"/>
          <w:spacing w:val="-5"/>
          <w:sz w:val="32"/>
          <w:szCs w:val="32"/>
        </w:rPr>
        <w:t>玻</w:t>
      </w:r>
      <w:proofErr w:type="gramEnd"/>
      <w:r>
        <w:rPr>
          <w:rFonts w:ascii="Times New Roman" w:eastAsia="仿宋_GB2312" w:hAnsi="仿宋_GB2312" w:cs="Times New Roman"/>
          <w:color w:val="000000"/>
          <w:spacing w:val="-5"/>
          <w:sz w:val="32"/>
          <w:szCs w:val="32"/>
        </w:rPr>
        <w:t>片、工作单及上机环节应采用条码管理，微生物名称和药敏名称等基础数据应标准化，并保留全过程记录。</w:t>
      </w:r>
    </w:p>
    <w:p w14:paraId="198E073F"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微生物报告应支持三级发布：一级发布涂片或者染色结果，二级发布阳性</w:t>
      </w:r>
      <w:proofErr w:type="gramStart"/>
      <w:r>
        <w:rPr>
          <w:rFonts w:ascii="Times New Roman" w:eastAsia="仿宋_GB2312" w:hAnsi="仿宋_GB2312" w:cs="Times New Roman"/>
          <w:color w:val="000000"/>
          <w:spacing w:val="-5"/>
          <w:sz w:val="32"/>
          <w:szCs w:val="32"/>
        </w:rPr>
        <w:t>菌</w:t>
      </w:r>
      <w:proofErr w:type="gramEnd"/>
      <w:r>
        <w:rPr>
          <w:rFonts w:ascii="Times New Roman" w:eastAsia="仿宋_GB2312" w:hAnsi="仿宋_GB2312" w:cs="Times New Roman"/>
          <w:color w:val="000000"/>
          <w:spacing w:val="-5"/>
          <w:sz w:val="32"/>
          <w:szCs w:val="32"/>
        </w:rPr>
        <w:t>初步药敏结果，一级、二级报告发布后应向临床医师提示，仅供查看，不得打印；三级报告发布细菌鉴定和药敏试验最终结果，可供临床查看和打印。</w:t>
      </w:r>
    </w:p>
    <w:p w14:paraId="73A65D22"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微生物报告还应支持结果解释、分步报告和三级报告管理，接收登记统计应与业务明细自动联动，培养观察和报告统计应能够追溯</w:t>
      </w:r>
      <w:proofErr w:type="gramStart"/>
      <w:r>
        <w:rPr>
          <w:rFonts w:ascii="Times New Roman" w:eastAsia="仿宋_GB2312" w:hAnsi="仿宋_GB2312" w:cs="Times New Roman"/>
          <w:color w:val="000000"/>
          <w:spacing w:val="-5"/>
          <w:sz w:val="32"/>
          <w:szCs w:val="32"/>
        </w:rPr>
        <w:t>至相应</w:t>
      </w:r>
      <w:proofErr w:type="gramEnd"/>
      <w:r>
        <w:rPr>
          <w:rFonts w:ascii="Times New Roman" w:eastAsia="仿宋_GB2312" w:hAnsi="仿宋_GB2312" w:cs="Times New Roman"/>
          <w:color w:val="000000"/>
          <w:spacing w:val="-5"/>
          <w:sz w:val="32"/>
          <w:szCs w:val="32"/>
        </w:rPr>
        <w:t>标本及业务明细。</w:t>
      </w:r>
    </w:p>
    <w:p w14:paraId="1EC4ED11"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4</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多重耐药机制、血培养污染、危急值、传染风险和生物危害规则应支持维护、自动识别、标记和提示，并支持微生物分步计费及报告样式配置。</w:t>
      </w:r>
    </w:p>
    <w:p w14:paraId="09336670"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5</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微生物检验数据应支持导入</w:t>
      </w:r>
      <w:r>
        <w:rPr>
          <w:rFonts w:ascii="Times New Roman" w:eastAsia="仿宋_GB2312" w:hAnsi="仿宋_GB2312" w:cs="Times New Roman"/>
          <w:color w:val="000000"/>
          <w:spacing w:val="-5"/>
          <w:sz w:val="32"/>
          <w:szCs w:val="32"/>
        </w:rPr>
        <w:t>WHONET</w:t>
      </w:r>
      <w:r>
        <w:rPr>
          <w:rFonts w:ascii="Times New Roman" w:eastAsia="仿宋_GB2312" w:hAnsi="仿宋_GB2312" w:cs="Times New Roman"/>
          <w:color w:val="000000"/>
          <w:spacing w:val="-5"/>
          <w:sz w:val="32"/>
          <w:szCs w:val="32"/>
        </w:rPr>
        <w:t>并通过既有方式上</w:t>
      </w:r>
      <w:proofErr w:type="gramStart"/>
      <w:r>
        <w:rPr>
          <w:rFonts w:ascii="Times New Roman" w:eastAsia="仿宋_GB2312" w:hAnsi="仿宋_GB2312" w:cs="Times New Roman"/>
          <w:color w:val="000000"/>
          <w:spacing w:val="-5"/>
          <w:sz w:val="32"/>
          <w:szCs w:val="32"/>
        </w:rPr>
        <w:t>传国家</w:t>
      </w:r>
      <w:proofErr w:type="gramEnd"/>
      <w:r>
        <w:rPr>
          <w:rFonts w:ascii="Times New Roman" w:eastAsia="仿宋_GB2312" w:hAnsi="仿宋_GB2312" w:cs="Times New Roman"/>
          <w:color w:val="000000"/>
          <w:spacing w:val="-5"/>
          <w:sz w:val="32"/>
          <w:szCs w:val="32"/>
        </w:rPr>
        <w:t>耐药监测网；专家规则应综合患者、样本、菌落、药</w:t>
      </w:r>
      <w:proofErr w:type="gramStart"/>
      <w:r>
        <w:rPr>
          <w:rFonts w:ascii="Times New Roman" w:eastAsia="仿宋_GB2312" w:hAnsi="仿宋_GB2312" w:cs="Times New Roman"/>
          <w:color w:val="000000"/>
          <w:spacing w:val="-5"/>
          <w:sz w:val="32"/>
          <w:szCs w:val="32"/>
        </w:rPr>
        <w:t>敏及其</w:t>
      </w:r>
      <w:proofErr w:type="gramEnd"/>
      <w:r>
        <w:rPr>
          <w:rFonts w:ascii="Times New Roman" w:eastAsia="仿宋_GB2312" w:hAnsi="仿宋_GB2312" w:cs="Times New Roman"/>
          <w:color w:val="000000"/>
          <w:spacing w:val="-5"/>
          <w:sz w:val="32"/>
          <w:szCs w:val="32"/>
        </w:rPr>
        <w:t>他检验结果，自动形成专家评语和耐药机制，并支持调整抗生素项目。</w:t>
      </w:r>
    </w:p>
    <w:p w14:paraId="74D34FE9"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6</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系统应支持按全部、同类、相同和同一标本等范围回顾患者微生物检验结果，并汇总患者感染指标及同一标本在其他专业组的相关检验结果。</w:t>
      </w:r>
    </w:p>
    <w:p w14:paraId="5600F0FC"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7</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标本接收时，系统应根据标本种类和送检目的自动编号并分配默认培养基方案；前处理环节应支持选择备选培养基方案、记录退回原因，并按方案打印或者重打标本、培养基标签及细菌流程单。</w:t>
      </w:r>
    </w:p>
    <w:p w14:paraId="3125718A"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8</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血培养标本接收环节应能够采集重量数据，自动计算瓶内血量，发现异常时自动提示并形成采集量分析报告。</w:t>
      </w:r>
    </w:p>
    <w:p w14:paraId="1AEF5E1D"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9</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镜下图像应支持由指定设备采集或者从第三方系统读取，并可按模板形成结果；培养仪联机后，应提供全部在箱标本的位置、状态、结果查询和异常监测。</w:t>
      </w:r>
    </w:p>
    <w:p w14:paraId="66BBDA5A"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10</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血培养管理应识别匿名瓶，记录上机和培养时间，按预设规则自动或者批量发布阴性结果；</w:t>
      </w:r>
      <w:proofErr w:type="gramStart"/>
      <w:r>
        <w:rPr>
          <w:rFonts w:ascii="Times New Roman" w:eastAsia="仿宋_GB2312" w:hAnsi="仿宋_GB2312" w:cs="Times New Roman"/>
          <w:color w:val="000000"/>
          <w:spacing w:val="-5"/>
          <w:sz w:val="32"/>
          <w:szCs w:val="32"/>
        </w:rPr>
        <w:t>仪器报阳后</w:t>
      </w:r>
      <w:proofErr w:type="gramEnd"/>
      <w:r>
        <w:rPr>
          <w:rFonts w:ascii="Times New Roman" w:eastAsia="仿宋_GB2312" w:hAnsi="仿宋_GB2312" w:cs="Times New Roman"/>
          <w:color w:val="000000"/>
          <w:spacing w:val="-5"/>
          <w:sz w:val="32"/>
          <w:szCs w:val="32"/>
        </w:rPr>
        <w:t>应自动</w:t>
      </w:r>
      <w:proofErr w:type="gramStart"/>
      <w:r>
        <w:rPr>
          <w:rFonts w:ascii="Times New Roman" w:eastAsia="仿宋_GB2312" w:hAnsi="仿宋_GB2312" w:cs="Times New Roman"/>
          <w:color w:val="000000"/>
          <w:spacing w:val="-5"/>
          <w:sz w:val="32"/>
          <w:szCs w:val="32"/>
        </w:rPr>
        <w:t>记录报阳时间</w:t>
      </w:r>
      <w:proofErr w:type="gramEnd"/>
      <w:r>
        <w:rPr>
          <w:rFonts w:ascii="Times New Roman" w:eastAsia="仿宋_GB2312" w:hAnsi="仿宋_GB2312" w:cs="Times New Roman"/>
          <w:color w:val="000000"/>
          <w:spacing w:val="-5"/>
          <w:sz w:val="32"/>
          <w:szCs w:val="32"/>
        </w:rPr>
        <w:t>，并打印转种标签、工作单和阳性登记标签。</w:t>
      </w:r>
    </w:p>
    <w:p w14:paraId="40612CD8"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系统应支持对已下机或者未下机的阴性标本批量设置默认结果并同步发布报告；菌落观察应记录菌落形态、计数和初步鉴定结果，涂片、转种、</w:t>
      </w:r>
      <w:proofErr w:type="gramStart"/>
      <w:r>
        <w:rPr>
          <w:rFonts w:ascii="Times New Roman" w:eastAsia="仿宋_GB2312" w:hAnsi="仿宋_GB2312" w:cs="Times New Roman"/>
          <w:color w:val="000000"/>
          <w:spacing w:val="-5"/>
          <w:sz w:val="32"/>
          <w:szCs w:val="32"/>
        </w:rPr>
        <w:t>分纯和</w:t>
      </w:r>
      <w:proofErr w:type="gramEnd"/>
      <w:r>
        <w:rPr>
          <w:rFonts w:ascii="Times New Roman" w:eastAsia="仿宋_GB2312" w:hAnsi="仿宋_GB2312" w:cs="Times New Roman"/>
          <w:color w:val="000000"/>
          <w:spacing w:val="-5"/>
          <w:sz w:val="32"/>
          <w:szCs w:val="32"/>
        </w:rPr>
        <w:t>药</w:t>
      </w:r>
      <w:proofErr w:type="gramStart"/>
      <w:r>
        <w:rPr>
          <w:rFonts w:ascii="Times New Roman" w:eastAsia="仿宋_GB2312" w:hAnsi="仿宋_GB2312" w:cs="Times New Roman"/>
          <w:color w:val="000000"/>
          <w:spacing w:val="-5"/>
          <w:sz w:val="32"/>
          <w:szCs w:val="32"/>
        </w:rPr>
        <w:t>敏操作</w:t>
      </w:r>
      <w:proofErr w:type="gramEnd"/>
      <w:r>
        <w:rPr>
          <w:rFonts w:ascii="Times New Roman" w:eastAsia="仿宋_GB2312" w:hAnsi="仿宋_GB2312" w:cs="Times New Roman"/>
          <w:color w:val="000000"/>
          <w:spacing w:val="-5"/>
          <w:sz w:val="32"/>
          <w:szCs w:val="32"/>
        </w:rPr>
        <w:t>应保留过程记录。</w:t>
      </w:r>
    </w:p>
    <w:p w14:paraId="6FE8800F"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选定标本应</w:t>
      </w:r>
      <w:proofErr w:type="gramStart"/>
      <w:r>
        <w:rPr>
          <w:rFonts w:ascii="Times New Roman" w:eastAsia="仿宋_GB2312" w:hAnsi="仿宋_GB2312" w:cs="Times New Roman"/>
          <w:color w:val="000000"/>
          <w:spacing w:val="-5"/>
          <w:sz w:val="32"/>
          <w:szCs w:val="32"/>
        </w:rPr>
        <w:t>支持续报</w:t>
      </w:r>
      <w:proofErr w:type="gramEnd"/>
      <w:r>
        <w:rPr>
          <w:rFonts w:ascii="Times New Roman" w:eastAsia="仿宋_GB2312" w:hAnsi="仿宋_GB2312" w:cs="Times New Roman"/>
          <w:color w:val="000000"/>
          <w:spacing w:val="-5"/>
          <w:sz w:val="32"/>
          <w:szCs w:val="32"/>
        </w:rPr>
        <w:t>并复制前一天结果，</w:t>
      </w:r>
      <w:proofErr w:type="gramStart"/>
      <w:r>
        <w:rPr>
          <w:rFonts w:ascii="Times New Roman" w:eastAsia="仿宋_GB2312" w:hAnsi="仿宋_GB2312" w:cs="Times New Roman"/>
          <w:color w:val="000000"/>
          <w:spacing w:val="-5"/>
          <w:sz w:val="32"/>
          <w:szCs w:val="32"/>
        </w:rPr>
        <w:t>支持续培并</w:t>
      </w:r>
      <w:proofErr w:type="gramEnd"/>
      <w:r>
        <w:rPr>
          <w:rFonts w:ascii="Times New Roman" w:eastAsia="仿宋_GB2312" w:hAnsi="仿宋_GB2312" w:cs="Times New Roman"/>
          <w:color w:val="000000"/>
          <w:spacing w:val="-5"/>
          <w:sz w:val="32"/>
          <w:szCs w:val="32"/>
        </w:rPr>
        <w:t>自动延长培养时间；系统应打印转种和鉴定药敏标签，并对分离菌株进行编号。</w:t>
      </w:r>
    </w:p>
    <w:p w14:paraId="37798D16"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同一个患者同一部位的菌株重复上机时，系统应自动提示；鉴定药</w:t>
      </w:r>
      <w:proofErr w:type="gramStart"/>
      <w:r>
        <w:rPr>
          <w:rFonts w:ascii="Times New Roman" w:eastAsia="仿宋_GB2312" w:hAnsi="仿宋_GB2312" w:cs="Times New Roman"/>
          <w:color w:val="000000"/>
          <w:spacing w:val="-5"/>
          <w:sz w:val="32"/>
          <w:szCs w:val="32"/>
        </w:rPr>
        <w:t>敏任务</w:t>
      </w:r>
      <w:proofErr w:type="gramEnd"/>
      <w:r>
        <w:rPr>
          <w:rFonts w:ascii="Times New Roman" w:eastAsia="仿宋_GB2312" w:hAnsi="仿宋_GB2312" w:cs="Times New Roman"/>
          <w:color w:val="000000"/>
          <w:spacing w:val="-5"/>
          <w:sz w:val="32"/>
          <w:szCs w:val="32"/>
        </w:rPr>
        <w:t>应支持查询、排序和位置调整，并与鉴定药敏仪器或者中间软件双向通信，自动推送患者和菌株信息。</w:t>
      </w:r>
    </w:p>
    <w:p w14:paraId="28A52BE3"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14</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proofErr w:type="gramStart"/>
      <w:r>
        <w:rPr>
          <w:rFonts w:ascii="Times New Roman" w:eastAsia="仿宋_GB2312" w:hAnsi="仿宋_GB2312" w:cs="Times New Roman"/>
          <w:color w:val="000000"/>
          <w:spacing w:val="-5"/>
          <w:sz w:val="32"/>
          <w:szCs w:val="32"/>
        </w:rPr>
        <w:t>药敏管理应</w:t>
      </w:r>
      <w:proofErr w:type="gramEnd"/>
      <w:r>
        <w:rPr>
          <w:rFonts w:ascii="Times New Roman" w:eastAsia="仿宋_GB2312" w:hAnsi="仿宋_GB2312" w:cs="Times New Roman"/>
          <w:color w:val="000000"/>
          <w:spacing w:val="-5"/>
          <w:sz w:val="32"/>
          <w:szCs w:val="32"/>
        </w:rPr>
        <w:t>支持每日上机登记单打印或者预览、手工药敏方案、任务清单和结果录入，并提供第三方手工</w:t>
      </w:r>
      <w:proofErr w:type="gramStart"/>
      <w:r>
        <w:rPr>
          <w:rFonts w:ascii="Times New Roman" w:eastAsia="仿宋_GB2312" w:hAnsi="仿宋_GB2312" w:cs="Times New Roman"/>
          <w:color w:val="000000"/>
          <w:spacing w:val="-5"/>
          <w:sz w:val="32"/>
          <w:szCs w:val="32"/>
        </w:rPr>
        <w:t>药敏接口供</w:t>
      </w:r>
      <w:proofErr w:type="gramEnd"/>
      <w:r>
        <w:rPr>
          <w:rFonts w:ascii="Times New Roman" w:eastAsia="仿宋_GB2312" w:hAnsi="仿宋_GB2312" w:cs="Times New Roman"/>
          <w:color w:val="000000"/>
          <w:spacing w:val="-5"/>
          <w:sz w:val="32"/>
          <w:szCs w:val="32"/>
        </w:rPr>
        <w:t>相关系统读取结果。</w:t>
      </w:r>
    </w:p>
    <w:p w14:paraId="53235107"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15</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系统应根据患者和菌株信息在上机前自动补收药敏费用；未自动补费的标本应支持人工补费，标本可按编号、检验时间等条件筛选并按自定义规则标识状态。</w:t>
      </w:r>
    </w:p>
    <w:p w14:paraId="184CC0C9"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16</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标本应支持调用预设阴性结果，并对结果打印、阴性默认和审核进行批量处理；专家规则和审核规则应支持自定义，系统应自动判断并提示不符合规则的结果。</w:t>
      </w:r>
    </w:p>
    <w:p w14:paraId="70ABE243" w14:textId="77777777" w:rsidR="002F758E" w:rsidRDefault="00000000" w:rsidP="00C35195">
      <w:pPr>
        <w:pStyle w:val="3"/>
        <w:spacing w:line="640" w:lineRule="exact"/>
        <w:ind w:firstLineChars="200" w:firstLine="630"/>
        <w:jc w:val="both"/>
      </w:pPr>
      <w:r>
        <w:rPr>
          <w:rFonts w:ascii="Times New Roman" w:eastAsia="仿宋_GB2312" w:hAnsi="仿宋_GB2312" w:cs="Times New Roman"/>
          <w:color w:val="000000"/>
          <w:spacing w:val="-5"/>
          <w:sz w:val="32"/>
          <w:szCs w:val="32"/>
        </w:rPr>
        <w:t>17</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传染病和生物危害规则应支持自定义，系统应按规则自动标记并将相关信息同步</w:t>
      </w:r>
      <w:proofErr w:type="gramStart"/>
      <w:r>
        <w:rPr>
          <w:rFonts w:ascii="Times New Roman" w:eastAsia="仿宋_GB2312" w:hAnsi="仿宋_GB2312" w:cs="Times New Roman"/>
          <w:color w:val="000000"/>
          <w:spacing w:val="-5"/>
          <w:sz w:val="32"/>
          <w:szCs w:val="32"/>
        </w:rPr>
        <w:t>至相应</w:t>
      </w:r>
      <w:proofErr w:type="gramEnd"/>
      <w:r>
        <w:rPr>
          <w:rFonts w:ascii="Times New Roman" w:eastAsia="仿宋_GB2312" w:hAnsi="仿宋_GB2312" w:cs="Times New Roman"/>
          <w:color w:val="000000"/>
          <w:spacing w:val="-5"/>
          <w:sz w:val="32"/>
          <w:szCs w:val="32"/>
        </w:rPr>
        <w:t>显示终端，自动判断耐药类型，并提供当前菌株对应的</w:t>
      </w:r>
      <w:r>
        <w:rPr>
          <w:rFonts w:ascii="Times New Roman" w:eastAsia="仿宋_GB2312" w:hAnsi="仿宋_GB2312" w:cs="Times New Roman"/>
          <w:color w:val="000000"/>
          <w:spacing w:val="-5"/>
          <w:sz w:val="32"/>
          <w:szCs w:val="32"/>
        </w:rPr>
        <w:t>CLSI</w:t>
      </w:r>
      <w:r>
        <w:rPr>
          <w:rFonts w:ascii="Times New Roman" w:eastAsia="仿宋_GB2312" w:hAnsi="仿宋_GB2312" w:cs="Times New Roman"/>
          <w:color w:val="000000"/>
          <w:spacing w:val="-5"/>
          <w:sz w:val="32"/>
          <w:szCs w:val="32"/>
        </w:rPr>
        <w:t>药敏试验补充建议。</w:t>
      </w:r>
    </w:p>
    <w:p w14:paraId="3A529CB2" w14:textId="77777777" w:rsidR="002F758E" w:rsidRDefault="00000000" w:rsidP="00C35195">
      <w:pPr>
        <w:pStyle w:val="3"/>
        <w:spacing w:line="640" w:lineRule="exact"/>
        <w:ind w:firstLineChars="200" w:firstLine="630"/>
        <w:jc w:val="both"/>
      </w:pPr>
      <w:r>
        <w:rPr>
          <w:rFonts w:ascii="Times New Roman" w:eastAsia="仿宋_GB2312" w:hAnsi="仿宋_GB2312" w:cs="Times New Roman"/>
          <w:color w:val="000000"/>
          <w:spacing w:val="-5"/>
          <w:sz w:val="32"/>
          <w:szCs w:val="32"/>
        </w:rPr>
        <w:t>18</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系统应自动标记天然耐药，或者在接收结果时按规则自动剔除天然耐药；应自动提取并解析仪器生化反应结果，并支持查询指定标本从接收、涂片、培养、鉴定药</w:t>
      </w:r>
      <w:proofErr w:type="gramStart"/>
      <w:r>
        <w:rPr>
          <w:rFonts w:ascii="Times New Roman" w:eastAsia="仿宋_GB2312" w:hAnsi="仿宋_GB2312" w:cs="Times New Roman"/>
          <w:color w:val="000000"/>
          <w:spacing w:val="-5"/>
          <w:sz w:val="32"/>
          <w:szCs w:val="32"/>
        </w:rPr>
        <w:t>敏至报告</w:t>
      </w:r>
      <w:proofErr w:type="gramEnd"/>
      <w:r>
        <w:rPr>
          <w:rFonts w:ascii="Times New Roman" w:eastAsia="仿宋_GB2312" w:hAnsi="仿宋_GB2312" w:cs="Times New Roman"/>
          <w:color w:val="000000"/>
          <w:spacing w:val="-5"/>
          <w:sz w:val="32"/>
          <w:szCs w:val="32"/>
        </w:rPr>
        <w:t>形成的全过程记录。</w:t>
      </w:r>
    </w:p>
    <w:p w14:paraId="2C3BA9F9"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19</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微生物业务应支持查看患者电子病历并回顾标本、感染指标和相关检验结果；系统应按</w:t>
      </w:r>
      <w:r>
        <w:rPr>
          <w:rFonts w:ascii="Times New Roman" w:eastAsia="仿宋_GB2312" w:hAnsi="仿宋_GB2312" w:cs="Times New Roman"/>
          <w:color w:val="000000"/>
          <w:spacing w:val="-5"/>
          <w:sz w:val="32"/>
          <w:szCs w:val="32"/>
        </w:rPr>
        <w:t>WHONET</w:t>
      </w:r>
      <w:r>
        <w:rPr>
          <w:rFonts w:ascii="Times New Roman" w:eastAsia="仿宋_GB2312" w:hAnsi="仿宋_GB2312" w:cs="Times New Roman"/>
          <w:color w:val="000000"/>
          <w:spacing w:val="-5"/>
          <w:sz w:val="32"/>
          <w:szCs w:val="32"/>
        </w:rPr>
        <w:t>现行折点规则重新判断仪器结果，并自动选择与具体菌种和临床情形相匹配的折点。</w:t>
      </w:r>
    </w:p>
    <w:p w14:paraId="573F8558"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20</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部分结果应支持形成初步报告并向临床发布；部分药敏结果可对临床报告屏蔽但</w:t>
      </w:r>
      <w:proofErr w:type="gramStart"/>
      <w:r>
        <w:rPr>
          <w:rFonts w:ascii="Times New Roman" w:eastAsia="仿宋_GB2312" w:hAnsi="仿宋_GB2312" w:cs="Times New Roman"/>
          <w:color w:val="000000"/>
          <w:spacing w:val="-5"/>
          <w:sz w:val="32"/>
          <w:szCs w:val="32"/>
        </w:rPr>
        <w:t>仍参与</w:t>
      </w:r>
      <w:proofErr w:type="gramEnd"/>
      <w:r>
        <w:rPr>
          <w:rFonts w:ascii="Times New Roman" w:eastAsia="仿宋_GB2312" w:hAnsi="仿宋_GB2312" w:cs="Times New Roman"/>
          <w:color w:val="000000"/>
          <w:spacing w:val="-5"/>
          <w:sz w:val="32"/>
          <w:szCs w:val="32"/>
        </w:rPr>
        <w:t>统计分析，系统应自动接收鉴定药敏仪上传的结果。</w:t>
      </w:r>
    </w:p>
    <w:p w14:paraId="164C9DE4"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21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系统应支持通过药敏组合批量选择药敏项目；细菌培养阴性结果应按日自动上报，达到规定培养时间后自动形成阴性报告，血</w:t>
      </w:r>
      <w:proofErr w:type="gramStart"/>
      <w:r>
        <w:rPr>
          <w:rFonts w:ascii="Times New Roman" w:eastAsia="仿宋_GB2312" w:hAnsi="仿宋_GB2312" w:cs="Times New Roman"/>
          <w:color w:val="000000"/>
          <w:spacing w:val="-5"/>
          <w:sz w:val="32"/>
          <w:szCs w:val="32"/>
        </w:rPr>
        <w:t>培养报阳后</w:t>
      </w:r>
      <w:proofErr w:type="gramEnd"/>
      <w:r>
        <w:rPr>
          <w:rFonts w:ascii="Times New Roman" w:eastAsia="仿宋_GB2312" w:hAnsi="仿宋_GB2312" w:cs="Times New Roman"/>
          <w:color w:val="000000"/>
          <w:spacing w:val="-5"/>
          <w:sz w:val="32"/>
          <w:szCs w:val="32"/>
        </w:rPr>
        <w:t>应自动报告，并可按在</w:t>
      </w:r>
      <w:proofErr w:type="gramStart"/>
      <w:r>
        <w:rPr>
          <w:rFonts w:ascii="Times New Roman" w:eastAsia="仿宋_GB2312" w:hAnsi="仿宋_GB2312" w:cs="Times New Roman"/>
          <w:color w:val="000000"/>
          <w:spacing w:val="-5"/>
          <w:sz w:val="32"/>
          <w:szCs w:val="32"/>
        </w:rPr>
        <w:t>箱情况</w:t>
      </w:r>
      <w:proofErr w:type="gramEnd"/>
      <w:r>
        <w:rPr>
          <w:rFonts w:ascii="Times New Roman" w:eastAsia="仿宋_GB2312" w:hAnsi="仿宋_GB2312" w:cs="Times New Roman"/>
          <w:color w:val="000000"/>
          <w:spacing w:val="-5"/>
          <w:sz w:val="32"/>
          <w:szCs w:val="32"/>
        </w:rPr>
        <w:t>每日发布阴性初步报告。</w:t>
      </w:r>
    </w:p>
    <w:p w14:paraId="159F33CE"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22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系统应自动形成药敏、阳性涂片、质谱或者初步鉴定报告，阳性报告经审核后形成最终报告；系统应按预设规则自动分配菌种保存方案，支持查询留存菌种，并保留菌种使用和销毁记录。</w:t>
      </w:r>
    </w:p>
    <w:p w14:paraId="543CB56A"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23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手工药敏、</w:t>
      </w:r>
      <w:r>
        <w:rPr>
          <w:rFonts w:ascii="Times New Roman" w:eastAsia="仿宋_GB2312" w:hAnsi="仿宋_GB2312" w:cs="Times New Roman"/>
          <w:color w:val="000000"/>
          <w:spacing w:val="-5"/>
          <w:sz w:val="32"/>
          <w:szCs w:val="32"/>
        </w:rPr>
        <w:t>MIC</w:t>
      </w:r>
      <w:r>
        <w:rPr>
          <w:rFonts w:ascii="Times New Roman" w:eastAsia="仿宋_GB2312" w:hAnsi="仿宋_GB2312" w:cs="Times New Roman"/>
          <w:color w:val="000000"/>
          <w:spacing w:val="-5"/>
          <w:sz w:val="32"/>
          <w:szCs w:val="32"/>
        </w:rPr>
        <w:t>和生化反应质</w:t>
      </w:r>
      <w:proofErr w:type="gramStart"/>
      <w:r>
        <w:rPr>
          <w:rFonts w:ascii="Times New Roman" w:eastAsia="仿宋_GB2312" w:hAnsi="仿宋_GB2312" w:cs="Times New Roman"/>
          <w:color w:val="000000"/>
          <w:spacing w:val="-5"/>
          <w:sz w:val="32"/>
          <w:szCs w:val="32"/>
        </w:rPr>
        <w:t>控结果</w:t>
      </w:r>
      <w:proofErr w:type="gramEnd"/>
      <w:r>
        <w:rPr>
          <w:rFonts w:ascii="Times New Roman" w:eastAsia="仿宋_GB2312" w:hAnsi="仿宋_GB2312" w:cs="Times New Roman"/>
          <w:color w:val="000000"/>
          <w:spacing w:val="-5"/>
          <w:sz w:val="32"/>
          <w:szCs w:val="32"/>
        </w:rPr>
        <w:t>应支持录入，系统应自动绘制可打印的质控图，并自动解析仪器生化反应质控结果。</w:t>
      </w:r>
    </w:p>
    <w:p w14:paraId="7506B095"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24</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微生物统计应覆盖工作量、阳性率、菌种分布、</w:t>
      </w:r>
      <w:proofErr w:type="gramStart"/>
      <w:r>
        <w:rPr>
          <w:rFonts w:ascii="Times New Roman" w:eastAsia="仿宋_GB2312" w:hAnsi="仿宋_GB2312" w:cs="Times New Roman"/>
          <w:color w:val="000000"/>
          <w:spacing w:val="-5"/>
          <w:sz w:val="32"/>
          <w:szCs w:val="32"/>
        </w:rPr>
        <w:t>药敏及常见</w:t>
      </w:r>
      <w:proofErr w:type="gramEnd"/>
      <w:r>
        <w:rPr>
          <w:rFonts w:ascii="Times New Roman" w:eastAsia="仿宋_GB2312" w:hAnsi="仿宋_GB2312" w:cs="Times New Roman"/>
          <w:color w:val="000000"/>
          <w:spacing w:val="-5"/>
          <w:sz w:val="32"/>
          <w:szCs w:val="32"/>
        </w:rPr>
        <w:t>10</w:t>
      </w:r>
      <w:r>
        <w:rPr>
          <w:rFonts w:ascii="Times New Roman" w:eastAsia="仿宋_GB2312" w:hAnsi="仿宋_GB2312" w:cs="Times New Roman"/>
          <w:color w:val="000000"/>
          <w:spacing w:val="-5"/>
          <w:sz w:val="32"/>
          <w:szCs w:val="32"/>
        </w:rPr>
        <w:t>种细菌耐药情况。</w:t>
      </w:r>
    </w:p>
    <w:p w14:paraId="6A134E1B"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25</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系统应提供接收登记、血培养、培养观察、多重耐药菌、</w:t>
      </w:r>
      <w:proofErr w:type="gramStart"/>
      <w:r>
        <w:rPr>
          <w:rFonts w:ascii="Times New Roman" w:eastAsia="仿宋_GB2312" w:hAnsi="仿宋_GB2312" w:cs="Times New Roman"/>
          <w:color w:val="000000"/>
          <w:spacing w:val="-5"/>
          <w:sz w:val="32"/>
          <w:szCs w:val="32"/>
        </w:rPr>
        <w:t>药敏补费</w:t>
      </w:r>
      <w:proofErr w:type="gramEnd"/>
      <w:r>
        <w:rPr>
          <w:rFonts w:ascii="Times New Roman" w:eastAsia="仿宋_GB2312" w:hAnsi="仿宋_GB2312" w:cs="Times New Roman"/>
          <w:color w:val="000000"/>
          <w:spacing w:val="-5"/>
          <w:sz w:val="32"/>
          <w:szCs w:val="32"/>
        </w:rPr>
        <w:t>和报告发布等业务状态及统计信息，覆盖已登记、待登记、报阳、未处理、观察处理、上报确认、补费和报告发布数量，并可追溯</w:t>
      </w:r>
      <w:proofErr w:type="gramStart"/>
      <w:r>
        <w:rPr>
          <w:rFonts w:ascii="Times New Roman" w:eastAsia="仿宋_GB2312" w:hAnsi="仿宋_GB2312" w:cs="Times New Roman"/>
          <w:color w:val="000000"/>
          <w:spacing w:val="-5"/>
          <w:sz w:val="32"/>
          <w:szCs w:val="32"/>
        </w:rPr>
        <w:t>至相应</w:t>
      </w:r>
      <w:proofErr w:type="gramEnd"/>
      <w:r>
        <w:rPr>
          <w:rFonts w:ascii="Times New Roman" w:eastAsia="仿宋_GB2312" w:hAnsi="仿宋_GB2312" w:cs="Times New Roman"/>
          <w:color w:val="000000"/>
          <w:spacing w:val="-5"/>
          <w:sz w:val="32"/>
          <w:szCs w:val="32"/>
        </w:rPr>
        <w:t>业务明细；血培养统计应与仪器培养业务自动联动。</w:t>
      </w:r>
    </w:p>
    <w:p w14:paraId="47FE3D89"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26</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proofErr w:type="gramStart"/>
      <w:r>
        <w:rPr>
          <w:rFonts w:ascii="Times New Roman" w:eastAsia="仿宋_GB2312" w:hAnsi="仿宋_GB2312" w:cs="Times New Roman"/>
          <w:color w:val="000000"/>
          <w:spacing w:val="-5"/>
          <w:sz w:val="32"/>
          <w:szCs w:val="32"/>
        </w:rPr>
        <w:t>院感业务</w:t>
      </w:r>
      <w:proofErr w:type="gramEnd"/>
      <w:r>
        <w:rPr>
          <w:rFonts w:ascii="Times New Roman" w:eastAsia="仿宋_GB2312" w:hAnsi="仿宋_GB2312" w:cs="Times New Roman"/>
          <w:color w:val="000000"/>
          <w:spacing w:val="-5"/>
          <w:sz w:val="32"/>
          <w:szCs w:val="32"/>
        </w:rPr>
        <w:t>应维护申请项目、标本类型、采样时间和采样方法，按项目位置配置申请模板和计划周期并自动生成申请，同时支持临时申请、条码打印、结果查询和报告打印。</w:t>
      </w:r>
    </w:p>
    <w:p w14:paraId="60BC86DC" w14:textId="77777777" w:rsidR="002F758E" w:rsidRDefault="00000000">
      <w:pPr>
        <w:pStyle w:val="2"/>
        <w:spacing w:line="592" w:lineRule="exact"/>
        <w:ind w:firstLineChars="200" w:firstLine="630"/>
        <w:jc w:val="both"/>
      </w:pPr>
      <w:r>
        <w:rPr>
          <w:rFonts w:ascii="Times New Roman" w:eastAsia="楷体_GB2312" w:hAnsi="楷体_GB2312" w:cs="Times New Roman"/>
          <w:color w:val="000000"/>
          <w:spacing w:val="-5"/>
          <w:sz w:val="32"/>
          <w:szCs w:val="32"/>
        </w:rPr>
        <w:t>（五）检验知识库、智能审核与质量控制</w:t>
      </w:r>
    </w:p>
    <w:p w14:paraId="61495003"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检验知识库应采用结构化、标准化方式管理，记录性别、诊断、标本、药品和体征对检验项目的影响，以及临床意义和采集要求；在标本采集、报告审核和临床查看报告时，应能够直接查阅相应知识内容。</w:t>
      </w:r>
    </w:p>
    <w:p w14:paraId="5F73E7EE"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知识库应支持维护诊断、用药与检验项目规则并按规则自动触发相应事件，知识内容应覆盖检验申请、标本采集与接收、报告审核和报告查看环节，并通过标准接口向相关系统提供服务。</w:t>
      </w:r>
    </w:p>
    <w:p w14:paraId="67EDD7C1"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自动审核规则应统一维护，系统应综合样本结果、同批次及历史结果、仪器报警、中间软件审核、分析单元质控、不合格标本、危急值、运输时效、患者状态、费用、复查状态、信息完整性及一致性、项目数量、人工修改和审核人员等信息，自动形成审核、拦截和提示。</w:t>
      </w:r>
    </w:p>
    <w:p w14:paraId="7A8A532A" w14:textId="77777777" w:rsidR="002F758E" w:rsidRDefault="00000000" w:rsidP="00C35195">
      <w:pPr>
        <w:pStyle w:val="3"/>
        <w:spacing w:line="640" w:lineRule="exact"/>
        <w:ind w:firstLineChars="200" w:firstLine="630"/>
        <w:jc w:val="both"/>
      </w:pPr>
      <w:r>
        <w:rPr>
          <w:rFonts w:ascii="Times New Roman" w:eastAsia="仿宋_GB2312" w:hAnsi="仿宋_GB2312" w:cs="Times New Roman"/>
          <w:color w:val="000000"/>
          <w:spacing w:val="-5"/>
          <w:sz w:val="32"/>
          <w:szCs w:val="32"/>
        </w:rPr>
        <w:t>4</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自动审核规则应支持线性范围、联合判断、辅助条件和历史比较，历史比较应覆盖偏差、正负偏差、偏离值、正负</w:t>
      </w:r>
      <w:proofErr w:type="gramStart"/>
      <w:r>
        <w:rPr>
          <w:rFonts w:ascii="Times New Roman" w:eastAsia="仿宋_GB2312" w:hAnsi="仿宋_GB2312" w:cs="Times New Roman"/>
          <w:color w:val="000000"/>
          <w:spacing w:val="-5"/>
          <w:sz w:val="32"/>
          <w:szCs w:val="32"/>
        </w:rPr>
        <w:t>偏离值</w:t>
      </w:r>
      <w:proofErr w:type="gramEnd"/>
      <w:r>
        <w:rPr>
          <w:rFonts w:ascii="Times New Roman" w:eastAsia="仿宋_GB2312" w:hAnsi="仿宋_GB2312" w:cs="Times New Roman"/>
          <w:color w:val="000000"/>
          <w:spacing w:val="-5"/>
          <w:sz w:val="32"/>
          <w:szCs w:val="32"/>
        </w:rPr>
        <w:t>和结果不一致等类型；规则类型应覆盖自动审核、警示、错误、复查、镜检、临床提示和科研初筛。</w:t>
      </w:r>
    </w:p>
    <w:p w14:paraId="520C08CB"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5</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专业规则应覆盖传染病、慢病随访、麻醉巡视和危急值预警。</w:t>
      </w:r>
    </w:p>
    <w:p w14:paraId="119DA2E3"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6</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系统应提供自动审核概况、规则应用情况、拦截原因、近</w:t>
      </w:r>
      <w:r>
        <w:rPr>
          <w:rFonts w:ascii="Times New Roman" w:eastAsia="仿宋_GB2312" w:hAnsi="仿宋_GB2312" w:cs="Times New Roman"/>
          <w:color w:val="000000"/>
          <w:spacing w:val="-5"/>
          <w:sz w:val="32"/>
          <w:szCs w:val="32"/>
        </w:rPr>
        <w:t>7</w:t>
      </w:r>
      <w:r>
        <w:rPr>
          <w:rFonts w:ascii="Times New Roman" w:eastAsia="仿宋_GB2312" w:hAnsi="仿宋_GB2312" w:cs="Times New Roman"/>
          <w:color w:val="000000"/>
          <w:spacing w:val="-5"/>
          <w:sz w:val="32"/>
          <w:szCs w:val="32"/>
        </w:rPr>
        <w:t>日报告趋势和审核明细等统计信息，能够按报告单元查询报告总数、通过数、未通过数和通过率，并对拦截原因分类统计。</w:t>
      </w:r>
    </w:p>
    <w:p w14:paraId="6AC9D25D"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7</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系统应提供基于患者样本的实时质量控制功能，不同仪器和项目可分别设置筛选条件、算法和控制阈值，经比较验证后形成应用规则；数据提取和计算过程应可视化，并支持自动和人工操作。</w:t>
      </w:r>
    </w:p>
    <w:p w14:paraId="69C15FF8"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8</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患者样本数据应支持按患者类别、性别、年龄、标本、科室、病区和诊断等维度筛选，并支持</w:t>
      </w:r>
      <w:r>
        <w:rPr>
          <w:rFonts w:ascii="Times New Roman" w:eastAsia="仿宋_GB2312" w:hAnsi="仿宋_GB2312" w:cs="Times New Roman"/>
          <w:color w:val="000000"/>
          <w:spacing w:val="-5"/>
          <w:sz w:val="32"/>
          <w:szCs w:val="32"/>
        </w:rPr>
        <w:t>MA</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MM</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WMA</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EWMA</w:t>
      </w:r>
      <w:r>
        <w:rPr>
          <w:rFonts w:ascii="Times New Roman" w:eastAsia="仿宋_GB2312" w:hAnsi="仿宋_GB2312" w:cs="Times New Roman"/>
          <w:color w:val="000000"/>
          <w:spacing w:val="-5"/>
          <w:sz w:val="32"/>
          <w:szCs w:val="32"/>
        </w:rPr>
        <w:t>、</w:t>
      </w:r>
      <w:proofErr w:type="spellStart"/>
      <w:r>
        <w:rPr>
          <w:rFonts w:ascii="Times New Roman" w:eastAsia="仿宋_GB2312" w:hAnsi="仿宋_GB2312" w:cs="Times New Roman"/>
          <w:color w:val="000000"/>
          <w:spacing w:val="-5"/>
          <w:sz w:val="32"/>
          <w:szCs w:val="32"/>
        </w:rPr>
        <w:t>MovSO</w:t>
      </w:r>
      <w:proofErr w:type="spellEnd"/>
      <w:r>
        <w:rPr>
          <w:rFonts w:ascii="Times New Roman" w:eastAsia="仿宋_GB2312" w:hAnsi="仿宋_GB2312" w:cs="Times New Roman"/>
          <w:color w:val="000000"/>
          <w:spacing w:val="-5"/>
          <w:sz w:val="32"/>
          <w:szCs w:val="32"/>
        </w:rPr>
        <w:t>和</w:t>
      </w:r>
      <w:proofErr w:type="spellStart"/>
      <w:r>
        <w:rPr>
          <w:rFonts w:ascii="Times New Roman" w:eastAsia="仿宋_GB2312" w:hAnsi="仿宋_GB2312" w:cs="Times New Roman"/>
          <w:color w:val="000000"/>
          <w:spacing w:val="-5"/>
          <w:sz w:val="32"/>
          <w:szCs w:val="32"/>
        </w:rPr>
        <w:t>AoN</w:t>
      </w:r>
      <w:proofErr w:type="spellEnd"/>
      <w:r>
        <w:rPr>
          <w:rFonts w:ascii="Times New Roman" w:eastAsia="仿宋_GB2312" w:hAnsi="仿宋_GB2312" w:cs="Times New Roman"/>
          <w:color w:val="000000"/>
          <w:spacing w:val="-5"/>
          <w:sz w:val="32"/>
          <w:szCs w:val="32"/>
        </w:rPr>
        <w:t>算法及多种报警规则。</w:t>
      </w:r>
    </w:p>
    <w:p w14:paraId="0E5EFAF7"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9</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自动审核统计应汇总均值、</w:t>
      </w:r>
      <w:r>
        <w:rPr>
          <w:rFonts w:ascii="Times New Roman" w:eastAsia="仿宋_GB2312" w:hAnsi="仿宋_GB2312" w:cs="Times New Roman"/>
          <w:color w:val="000000"/>
          <w:spacing w:val="-5"/>
          <w:sz w:val="32"/>
          <w:szCs w:val="32"/>
        </w:rPr>
        <w:t>SD</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CV</w:t>
      </w:r>
      <w:r>
        <w:rPr>
          <w:rFonts w:ascii="Times New Roman" w:eastAsia="仿宋_GB2312" w:hAnsi="仿宋_GB2312" w:cs="Times New Roman"/>
          <w:color w:val="000000"/>
          <w:spacing w:val="-5"/>
          <w:sz w:val="32"/>
          <w:szCs w:val="32"/>
        </w:rPr>
        <w:t>、偏高数、偏低数、最大值、最小值和分位数，并以</w:t>
      </w:r>
      <w:proofErr w:type="gramStart"/>
      <w:r>
        <w:rPr>
          <w:rFonts w:ascii="Times New Roman" w:eastAsia="仿宋_GB2312" w:hAnsi="仿宋_GB2312" w:cs="Times New Roman"/>
          <w:color w:val="000000"/>
          <w:spacing w:val="-5"/>
          <w:sz w:val="32"/>
          <w:szCs w:val="32"/>
        </w:rPr>
        <w:t>质控图展示</w:t>
      </w:r>
      <w:proofErr w:type="gramEnd"/>
      <w:r>
        <w:rPr>
          <w:rFonts w:ascii="Times New Roman" w:eastAsia="仿宋_GB2312" w:hAnsi="仿宋_GB2312" w:cs="Times New Roman"/>
          <w:color w:val="000000"/>
          <w:spacing w:val="-5"/>
          <w:sz w:val="32"/>
          <w:szCs w:val="32"/>
        </w:rPr>
        <w:t>；系统应提供符合医学实验室质量管理要求的检验业务统计分析工具。</w:t>
      </w:r>
    </w:p>
    <w:p w14:paraId="7F23A30E" w14:textId="77777777" w:rsidR="002F758E" w:rsidRDefault="00000000" w:rsidP="00C35195">
      <w:pPr>
        <w:pStyle w:val="3"/>
        <w:spacing w:line="640" w:lineRule="exact"/>
        <w:ind w:firstLineChars="200" w:firstLine="630"/>
        <w:jc w:val="both"/>
      </w:pPr>
      <w:r>
        <w:rPr>
          <w:rFonts w:ascii="Times New Roman" w:eastAsia="仿宋_GB2312" w:hAnsi="仿宋_GB2312" w:cs="Times New Roman"/>
          <w:color w:val="000000"/>
          <w:spacing w:val="-5"/>
          <w:sz w:val="32"/>
          <w:szCs w:val="32"/>
        </w:rPr>
        <w:t>10</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统计条件应支持保存为分析方案或者加入个人关注，供后续重复使用；统计分析报表应支持人工或者自动归档，提供不少于</w:t>
      </w:r>
      <w:r>
        <w:rPr>
          <w:rFonts w:ascii="Times New Roman" w:eastAsia="仿宋_GB2312" w:hAnsi="仿宋_GB2312" w:cs="Times New Roman"/>
          <w:color w:val="000000"/>
          <w:spacing w:val="-5"/>
          <w:sz w:val="32"/>
          <w:szCs w:val="32"/>
        </w:rPr>
        <w:t>300</w:t>
      </w:r>
      <w:r>
        <w:rPr>
          <w:rFonts w:ascii="Times New Roman" w:eastAsia="仿宋_GB2312" w:hAnsi="仿宋_GB2312" w:cs="Times New Roman"/>
          <w:color w:val="000000"/>
          <w:spacing w:val="-5"/>
          <w:sz w:val="32"/>
          <w:szCs w:val="32"/>
        </w:rPr>
        <w:t>种分类统计报表并支持自定义报表，投标响应和验收时应提交可核验的报表目录。</w:t>
      </w:r>
    </w:p>
    <w:p w14:paraId="2205EBD5"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分析结果应支持以数据列表和图表形式输出。</w:t>
      </w:r>
    </w:p>
    <w:p w14:paraId="10A4A6D6"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12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w:t>
      </w:r>
      <w:proofErr w:type="gramStart"/>
      <w:r>
        <w:rPr>
          <w:rFonts w:ascii="Times New Roman" w:eastAsia="仿宋_GB2312" w:hAnsi="仿宋_GB2312" w:cs="Times New Roman"/>
          <w:color w:val="000000"/>
          <w:spacing w:val="-5"/>
          <w:sz w:val="32"/>
          <w:szCs w:val="32"/>
        </w:rPr>
        <w:t>室内质控分析</w:t>
      </w:r>
      <w:proofErr w:type="gramEnd"/>
      <w:r>
        <w:rPr>
          <w:rFonts w:ascii="Times New Roman" w:eastAsia="仿宋_GB2312" w:hAnsi="仿宋_GB2312" w:cs="Times New Roman"/>
          <w:color w:val="000000"/>
          <w:spacing w:val="-5"/>
          <w:sz w:val="32"/>
          <w:szCs w:val="32"/>
        </w:rPr>
        <w:t>应能够自动识别质控失控事件，内置标准化失控原因库，自动匹配并推荐原因分析、纠正及预防措施，并根据失控数据、规则、时间、仪器、项目和</w:t>
      </w:r>
      <w:proofErr w:type="gramStart"/>
      <w:r>
        <w:rPr>
          <w:rFonts w:ascii="Times New Roman" w:eastAsia="仿宋_GB2312" w:hAnsi="仿宋_GB2312" w:cs="Times New Roman"/>
          <w:color w:val="000000"/>
          <w:spacing w:val="-5"/>
          <w:sz w:val="32"/>
          <w:szCs w:val="32"/>
        </w:rPr>
        <w:t>质控</w:t>
      </w:r>
      <w:proofErr w:type="gramEnd"/>
      <w:r>
        <w:rPr>
          <w:rFonts w:ascii="Times New Roman" w:eastAsia="仿宋_GB2312" w:hAnsi="仿宋_GB2312" w:cs="Times New Roman"/>
          <w:color w:val="000000"/>
          <w:spacing w:val="-5"/>
          <w:sz w:val="32"/>
          <w:szCs w:val="32"/>
        </w:rPr>
        <w:t>品批号自动生成包含失控现象、原因分析和纠正处置措施的完整报告。</w:t>
      </w:r>
    </w:p>
    <w:p w14:paraId="4193AD59"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失控报告应支持在线复核、编辑、补充和审核确认，全部报告内容、修改记录和审核信息应全程留痕，并支持预览、打印和导出，满足质量体系归档和迎检需要。</w:t>
      </w:r>
    </w:p>
    <w:p w14:paraId="34FD923C" w14:textId="77777777" w:rsidR="002F758E" w:rsidRDefault="00000000">
      <w:pPr>
        <w:pStyle w:val="2"/>
        <w:spacing w:line="592" w:lineRule="exact"/>
        <w:ind w:firstLineChars="200" w:firstLine="630"/>
        <w:jc w:val="both"/>
      </w:pPr>
      <w:r>
        <w:rPr>
          <w:rFonts w:ascii="Times New Roman" w:eastAsia="楷体_GB2312" w:hAnsi="楷体_GB2312" w:cs="Times New Roman"/>
          <w:color w:val="000000"/>
          <w:spacing w:val="-5"/>
          <w:sz w:val="32"/>
          <w:szCs w:val="32"/>
        </w:rPr>
        <w:t>（六）试剂耗材与设备管理</w:t>
      </w:r>
    </w:p>
    <w:p w14:paraId="5F9AE302"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试剂耗材应按医疗机构二级库管理，并与医院物资平台及第三方物资平台交换信息；系统应提供采购申请、采购订单、领用申请、效期、库存预警和出入库统计，按月形成近</w:t>
      </w:r>
      <w:r>
        <w:rPr>
          <w:rFonts w:ascii="Times New Roman" w:eastAsia="仿宋_GB2312" w:hAnsi="仿宋_GB2312" w:cs="Times New Roman"/>
          <w:color w:val="000000"/>
          <w:spacing w:val="-5"/>
          <w:sz w:val="32"/>
          <w:szCs w:val="32"/>
        </w:rPr>
        <w:t>12</w:t>
      </w:r>
      <w:r>
        <w:rPr>
          <w:rFonts w:ascii="Times New Roman" w:eastAsia="仿宋_GB2312" w:hAnsi="仿宋_GB2312" w:cs="Times New Roman"/>
          <w:color w:val="000000"/>
          <w:spacing w:val="-5"/>
          <w:sz w:val="32"/>
          <w:szCs w:val="32"/>
        </w:rPr>
        <w:t>个月采购入库金额变化，并统计本组本周及本人当日出入库数量和金额。</w:t>
      </w:r>
    </w:p>
    <w:p w14:paraId="0769637E"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实验室与供应商应支持通过物资交互平台、移动终端和</w:t>
      </w:r>
      <w:proofErr w:type="gramStart"/>
      <w:r>
        <w:rPr>
          <w:rFonts w:ascii="Times New Roman" w:eastAsia="仿宋_GB2312" w:hAnsi="仿宋_GB2312" w:cs="Times New Roman"/>
          <w:color w:val="000000"/>
          <w:spacing w:val="-5"/>
          <w:sz w:val="32"/>
          <w:szCs w:val="32"/>
        </w:rPr>
        <w:t>二维码交换</w:t>
      </w:r>
      <w:proofErr w:type="gramEnd"/>
      <w:r>
        <w:rPr>
          <w:rFonts w:ascii="Times New Roman" w:eastAsia="仿宋_GB2312" w:hAnsi="仿宋_GB2312" w:cs="Times New Roman"/>
          <w:color w:val="000000"/>
          <w:spacing w:val="-5"/>
          <w:sz w:val="32"/>
          <w:szCs w:val="32"/>
        </w:rPr>
        <w:t>物资信息，实验室内部应采用一维条码进行全程电子标签管理；物资管理应覆盖需求、采购、出入库、使用、资质、性能验证、发票、报废和成本分析。</w:t>
      </w:r>
    </w:p>
    <w:p w14:paraId="237B5030"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系统应提供</w:t>
      </w:r>
      <w:proofErr w:type="gramStart"/>
      <w:r>
        <w:rPr>
          <w:rFonts w:ascii="Times New Roman" w:eastAsia="仿宋_GB2312" w:hAnsi="仿宋_GB2312" w:cs="Times New Roman"/>
          <w:color w:val="000000"/>
          <w:spacing w:val="-5"/>
          <w:sz w:val="32"/>
          <w:szCs w:val="32"/>
        </w:rPr>
        <w:t>库存及效期</w:t>
      </w:r>
      <w:proofErr w:type="gramEnd"/>
      <w:r>
        <w:rPr>
          <w:rFonts w:ascii="Times New Roman" w:eastAsia="仿宋_GB2312" w:hAnsi="仿宋_GB2312" w:cs="Times New Roman"/>
          <w:color w:val="000000"/>
          <w:spacing w:val="-5"/>
          <w:sz w:val="32"/>
          <w:szCs w:val="32"/>
        </w:rPr>
        <w:t>预警和近效期先用提醒，并支持与实验室冷链系统衔接。</w:t>
      </w:r>
    </w:p>
    <w:p w14:paraId="6CA6CBC6"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4</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试剂应</w:t>
      </w:r>
      <w:proofErr w:type="gramStart"/>
      <w:r>
        <w:rPr>
          <w:rFonts w:ascii="Times New Roman" w:eastAsia="仿宋_GB2312" w:hAnsi="仿宋_GB2312" w:cs="Times New Roman"/>
          <w:color w:val="000000"/>
          <w:spacing w:val="-5"/>
          <w:sz w:val="32"/>
          <w:szCs w:val="32"/>
        </w:rPr>
        <w:t>支持扫码装载</w:t>
      </w:r>
      <w:proofErr w:type="gramEnd"/>
      <w:r>
        <w:rPr>
          <w:rFonts w:ascii="Times New Roman" w:eastAsia="仿宋_GB2312" w:hAnsi="仿宋_GB2312" w:cs="Times New Roman"/>
          <w:color w:val="000000"/>
          <w:spacing w:val="-5"/>
          <w:sz w:val="32"/>
          <w:szCs w:val="32"/>
        </w:rPr>
        <w:t>并确认多批次试剂批号，标本分析结果和</w:t>
      </w:r>
      <w:proofErr w:type="gramStart"/>
      <w:r>
        <w:rPr>
          <w:rFonts w:ascii="Times New Roman" w:eastAsia="仿宋_GB2312" w:hAnsi="仿宋_GB2312" w:cs="Times New Roman"/>
          <w:color w:val="000000"/>
          <w:spacing w:val="-5"/>
          <w:sz w:val="32"/>
          <w:szCs w:val="32"/>
        </w:rPr>
        <w:t>质控</w:t>
      </w:r>
      <w:proofErr w:type="gramEnd"/>
      <w:r>
        <w:rPr>
          <w:rFonts w:ascii="Times New Roman" w:eastAsia="仿宋_GB2312" w:hAnsi="仿宋_GB2312" w:cs="Times New Roman"/>
          <w:color w:val="000000"/>
          <w:spacing w:val="-5"/>
          <w:sz w:val="32"/>
          <w:szCs w:val="32"/>
        </w:rPr>
        <w:t>结果应与实际使用的试剂批次关联，采购入库应登记发票信息。</w:t>
      </w:r>
    </w:p>
    <w:p w14:paraId="795C0441"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5</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无人值守库房应具备身份核验和出入控制功能，完成身份核验后应自动执行相应门禁控制，并支持收货、移库和领用自助扫码。</w:t>
      </w:r>
    </w:p>
    <w:p w14:paraId="43287C70"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6</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试剂批号更换时，应支持对一台或者多台仪器的试剂测试性能进行验证；系统应比较理论消耗与实际消耗，并统计收入与试剂成本、仪器试剂消耗的占比。</w:t>
      </w:r>
    </w:p>
    <w:p w14:paraId="7A10D7A5"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7</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单品条码和开瓶管理应实行一物一码，高值耗材从入库至使用全过程应可追溯。</w:t>
      </w:r>
    </w:p>
    <w:p w14:paraId="5EB8CB38"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8</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智能请购应根据常备库存、最低库存或者期间平均出库量自动计算采购数量；库存超出上下限、超过效期或者临近效期时应实时预警并为采购计划提供依据，耗材试剂证书和供应商证书应支持上传管理。</w:t>
      </w:r>
    </w:p>
    <w:p w14:paraId="1BB30B06"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9</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系统应支持按服务、质量和口碑等维度评价供应商。</w:t>
      </w:r>
    </w:p>
    <w:p w14:paraId="575FFAA9"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10</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系统应提供采购、领用、效期、库存预警、出入库、试剂转换率和近一年采购入库趋势等业务信息；入库应支持外部单号、采购单号、表格导入、手工、</w:t>
      </w:r>
      <w:proofErr w:type="gramStart"/>
      <w:r>
        <w:rPr>
          <w:rFonts w:ascii="Times New Roman" w:eastAsia="仿宋_GB2312" w:hAnsi="仿宋_GB2312" w:cs="Times New Roman"/>
          <w:color w:val="000000"/>
          <w:spacing w:val="-5"/>
          <w:sz w:val="32"/>
          <w:szCs w:val="32"/>
        </w:rPr>
        <w:t>组套和二维码扫描</w:t>
      </w:r>
      <w:proofErr w:type="gramEnd"/>
      <w:r>
        <w:rPr>
          <w:rFonts w:ascii="Times New Roman" w:eastAsia="仿宋_GB2312" w:hAnsi="仿宋_GB2312" w:cs="Times New Roman"/>
          <w:color w:val="000000"/>
          <w:spacing w:val="-5"/>
          <w:sz w:val="32"/>
          <w:szCs w:val="32"/>
        </w:rPr>
        <w:t>，并可按自定义项目对包装、商品标识和合格证进行评价，上传合同、发票、照片和视频。</w:t>
      </w:r>
    </w:p>
    <w:p w14:paraId="7500B43F"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库存统计应覆盖库存流水、期间出入库、环比和同比并支持导出；系统应支持盘点、账物差异纠正、集采任务、异常库存和非正常出库处置，领用申请可手工录入或者按授权模板填报。</w:t>
      </w:r>
    </w:p>
    <w:p w14:paraId="3682FBC6"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12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全部物品库存应支持实时查询、筛选、导出、借用和归还管理。</w:t>
      </w:r>
    </w:p>
    <w:p w14:paraId="21F9D02F"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物品报损应记录原因、方式和后续处置；采购申请、采购订单及领用申请应与审核、退回和执行业务自动联动，支持相应的通过、退回、解除审核和执行操作，低于常备库存或者安全库存时应显示全部低库存商品明细。</w:t>
      </w:r>
    </w:p>
    <w:p w14:paraId="6695C84B"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14</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设备档案应按管理主体和类别集中管理，覆盖购置、验收启用、培训上岗、校准、维护、不良事件、维修、调度和退役报废全过程，并支持查询、浏览、打印和操作记录留存。</w:t>
      </w:r>
    </w:p>
    <w:p w14:paraId="19CF62C7"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15</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设备维护计划应支持按指定时点或者日、周、月等周期自动触发，明确执行步骤、填写方式和责任人；日常保养登记步骤默认可设为</w:t>
      </w:r>
      <w:r>
        <w:rPr>
          <w:rFonts w:ascii="Times New Roman" w:eastAsia="仿宋_GB2312" w:hAnsi="仿宋_GB2312" w:cs="Times New Roman"/>
          <w:color w:val="000000"/>
          <w:spacing w:val="-5"/>
          <w:sz w:val="32"/>
          <w:szCs w:val="32"/>
        </w:rPr>
        <w:t>5</w:t>
      </w:r>
      <w:r>
        <w:rPr>
          <w:rFonts w:ascii="Times New Roman" w:eastAsia="仿宋_GB2312" w:hAnsi="仿宋_GB2312" w:cs="Times New Roman"/>
          <w:color w:val="000000"/>
          <w:spacing w:val="-5"/>
          <w:sz w:val="32"/>
          <w:szCs w:val="32"/>
        </w:rPr>
        <w:t>个，并允许根据实际需要调整数量，执行结果应汇总形成报告并纳入实验室质量管理文件。</w:t>
      </w:r>
    </w:p>
    <w:p w14:paraId="7066132D"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16</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提供设备维护、校准及其他设备业务办理条件，并集中反映设备类别、在用及全部设备、编号、负责人、维护计划、不良事件、维修、校准、启用、报废和全部待执行计划等信息；相关状态、待办事项、计划和设备档案应实时更新并自动联动。</w:t>
      </w:r>
    </w:p>
    <w:p w14:paraId="6512D165"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17</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设备使用权限应支持分配和控制，设备管理应与培训考试联动，实现培训、考试和授权全过程管理。</w:t>
      </w:r>
    </w:p>
    <w:p w14:paraId="05812DA8"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18</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设备管理应支持</w:t>
      </w:r>
      <w:r>
        <w:rPr>
          <w:rFonts w:ascii="Times New Roman" w:eastAsia="仿宋_GB2312" w:hAnsi="仿宋_GB2312" w:cs="Times New Roman"/>
          <w:color w:val="000000"/>
          <w:spacing w:val="-5"/>
          <w:sz w:val="32"/>
          <w:szCs w:val="32"/>
        </w:rPr>
        <w:t>KPI</w:t>
      </w:r>
      <w:r>
        <w:rPr>
          <w:rFonts w:ascii="Times New Roman" w:eastAsia="仿宋_GB2312" w:hAnsi="仿宋_GB2312" w:cs="Times New Roman"/>
          <w:color w:val="000000"/>
          <w:spacing w:val="-5"/>
          <w:sz w:val="32"/>
          <w:szCs w:val="32"/>
        </w:rPr>
        <w:t>评估，根据收入、成本、利润和折旧计算设备成本产出比例，并支持</w:t>
      </w:r>
      <w:r>
        <w:rPr>
          <w:rFonts w:ascii="Times New Roman" w:eastAsia="仿宋_GB2312" w:hAnsi="仿宋_GB2312" w:cs="Times New Roman"/>
          <w:color w:val="000000"/>
          <w:spacing w:val="-5"/>
          <w:sz w:val="32"/>
          <w:szCs w:val="32"/>
        </w:rPr>
        <w:t>LIS</w:t>
      </w:r>
      <w:r>
        <w:rPr>
          <w:rFonts w:ascii="Times New Roman" w:eastAsia="仿宋_GB2312" w:hAnsi="仿宋_GB2312" w:cs="Times New Roman"/>
          <w:color w:val="000000"/>
          <w:spacing w:val="-5"/>
          <w:sz w:val="32"/>
          <w:szCs w:val="32"/>
        </w:rPr>
        <w:t>仪器信息导入以及维护计划执行、维修次数和校准事件等信息查询。</w:t>
      </w:r>
    </w:p>
    <w:p w14:paraId="07288247" w14:textId="77777777" w:rsidR="002F758E" w:rsidRDefault="00000000">
      <w:pPr>
        <w:pStyle w:val="2"/>
        <w:spacing w:line="592" w:lineRule="exact"/>
        <w:ind w:firstLineChars="200" w:firstLine="630"/>
        <w:jc w:val="both"/>
      </w:pPr>
      <w:r>
        <w:rPr>
          <w:rFonts w:ascii="Times New Roman" w:eastAsia="楷体_GB2312" w:hAnsi="楷体_GB2312" w:cs="Times New Roman"/>
          <w:color w:val="000000"/>
          <w:spacing w:val="-5"/>
          <w:sz w:val="32"/>
          <w:szCs w:val="32"/>
        </w:rPr>
        <w:t>（七）人员、培训与考核管理</w:t>
      </w:r>
    </w:p>
    <w:p w14:paraId="28C8366C"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人员管理应按医学实验室质量管理要求维护人员资历，建立覆盖基本信息、健康、经历、资格、角色授权、轮转、排班休假、成果、培训和奖惩记录的电子档案，并支持按科室、工作组和院区查询、打印、导出和同步。</w:t>
      </w:r>
    </w:p>
    <w:p w14:paraId="0AB093DE"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个人工作量、绩效和工作质量应支持自定义统计，并可按周、月、季度和年度进行分析。</w:t>
      </w:r>
    </w:p>
    <w:p w14:paraId="1D832DD6"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proofErr w:type="gramStart"/>
      <w:r>
        <w:rPr>
          <w:rFonts w:ascii="Times New Roman" w:eastAsia="仿宋_GB2312" w:hAnsi="仿宋_GB2312" w:cs="Times New Roman"/>
          <w:color w:val="000000"/>
          <w:spacing w:val="-5"/>
          <w:sz w:val="32"/>
          <w:szCs w:val="32"/>
        </w:rPr>
        <w:t>移动端应支持</w:t>
      </w:r>
      <w:proofErr w:type="gramEnd"/>
      <w:r>
        <w:rPr>
          <w:rFonts w:ascii="Times New Roman" w:eastAsia="仿宋_GB2312" w:hAnsi="仿宋_GB2312" w:cs="Times New Roman"/>
          <w:color w:val="000000"/>
          <w:spacing w:val="-5"/>
          <w:sz w:val="32"/>
          <w:szCs w:val="32"/>
        </w:rPr>
        <w:t>人员查看和修正个人信息，上</w:t>
      </w:r>
      <w:proofErr w:type="gramStart"/>
      <w:r>
        <w:rPr>
          <w:rFonts w:ascii="Times New Roman" w:eastAsia="仿宋_GB2312" w:hAnsi="仿宋_GB2312" w:cs="Times New Roman"/>
          <w:color w:val="000000"/>
          <w:spacing w:val="-5"/>
          <w:sz w:val="32"/>
          <w:szCs w:val="32"/>
        </w:rPr>
        <w:t>传资格</w:t>
      </w:r>
      <w:proofErr w:type="gramEnd"/>
      <w:r>
        <w:rPr>
          <w:rFonts w:ascii="Times New Roman" w:eastAsia="仿宋_GB2312" w:hAnsi="仿宋_GB2312" w:cs="Times New Roman"/>
          <w:color w:val="000000"/>
          <w:spacing w:val="-5"/>
          <w:sz w:val="32"/>
          <w:szCs w:val="32"/>
        </w:rPr>
        <w:t>证、课题、论文和培训记录；人员管理应支持岗位配置，操作权限应来源于培训和考核，人员可申请取得或者续期相应权限的考试。</w:t>
      </w:r>
    </w:p>
    <w:p w14:paraId="3BC895B4" w14:textId="77777777" w:rsidR="002F758E" w:rsidRDefault="00000000" w:rsidP="00C35195">
      <w:pPr>
        <w:pStyle w:val="3"/>
        <w:spacing w:line="640" w:lineRule="exact"/>
        <w:ind w:firstLineChars="200" w:firstLine="630"/>
        <w:jc w:val="both"/>
      </w:pPr>
      <w:r>
        <w:rPr>
          <w:rFonts w:ascii="Times New Roman" w:eastAsia="仿宋_GB2312" w:hAnsi="仿宋_GB2312" w:cs="Times New Roman"/>
          <w:color w:val="000000"/>
          <w:spacing w:val="-5"/>
          <w:sz w:val="32"/>
          <w:szCs w:val="32"/>
        </w:rPr>
        <w:t>4</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考试合格后应自动授予相应权限，权限可设置有效期并在到期前自动提醒；题库应支持新增试题，并按难度、</w:t>
      </w:r>
      <w:proofErr w:type="gramStart"/>
      <w:r>
        <w:rPr>
          <w:rFonts w:ascii="Times New Roman" w:eastAsia="仿宋_GB2312" w:hAnsi="仿宋_GB2312" w:cs="Times New Roman"/>
          <w:color w:val="000000"/>
          <w:spacing w:val="-5"/>
          <w:sz w:val="32"/>
          <w:szCs w:val="32"/>
        </w:rPr>
        <w:t>亚专业</w:t>
      </w:r>
      <w:proofErr w:type="gramEnd"/>
      <w:r>
        <w:rPr>
          <w:rFonts w:ascii="Times New Roman" w:eastAsia="仿宋_GB2312" w:hAnsi="仿宋_GB2312" w:cs="Times New Roman"/>
          <w:color w:val="000000"/>
          <w:spacing w:val="-5"/>
          <w:sz w:val="32"/>
          <w:szCs w:val="32"/>
        </w:rPr>
        <w:t>和题型分类管理。</w:t>
      </w:r>
    </w:p>
    <w:p w14:paraId="38BD7770" w14:textId="77777777" w:rsidR="002F758E" w:rsidRDefault="00000000" w:rsidP="00C35195">
      <w:pPr>
        <w:pStyle w:val="3"/>
        <w:spacing w:line="640" w:lineRule="exact"/>
        <w:ind w:firstLineChars="200" w:firstLine="630"/>
        <w:jc w:val="both"/>
      </w:pPr>
      <w:r>
        <w:rPr>
          <w:rFonts w:ascii="Times New Roman" w:eastAsia="仿宋_GB2312" w:hAnsi="仿宋_GB2312" w:cs="Times New Roman"/>
          <w:color w:val="000000"/>
          <w:spacing w:val="-5"/>
          <w:sz w:val="32"/>
          <w:szCs w:val="32"/>
        </w:rPr>
        <w:t>5</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试卷应支持人工选题或者按设定条件随机抽题生成，可由管理员批量发布、在岗位变更时自动发送或者由人员主动申请；考试应与角色权限关联，合格后自动授予权限，考核记录自动归入人员档案。</w:t>
      </w:r>
    </w:p>
    <w:p w14:paraId="267F8668"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6</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系统应提供待考试、待阅卷、待评估、个人考试和通过情况等业务信息，题库统计应按临床血液体液学、临床免疫学、临床化学及其他试题分类，待阅卷和待评估信息应包括试卷、参考人、起止时间和得分。</w:t>
      </w:r>
    </w:p>
    <w:p w14:paraId="649FDEB5"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7</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人员管理应支持</w:t>
      </w:r>
      <w:r>
        <w:rPr>
          <w:rFonts w:ascii="Times New Roman" w:eastAsia="仿宋_GB2312" w:hAnsi="仿宋_GB2312" w:cs="Times New Roman"/>
          <w:color w:val="000000"/>
          <w:spacing w:val="-5"/>
          <w:sz w:val="32"/>
          <w:szCs w:val="32"/>
        </w:rPr>
        <w:t>360</w:t>
      </w:r>
      <w:r>
        <w:rPr>
          <w:rFonts w:ascii="Times New Roman" w:eastAsia="仿宋_GB2312" w:hAnsi="仿宋_GB2312" w:cs="Times New Roman"/>
          <w:color w:val="000000"/>
          <w:spacing w:val="-5"/>
          <w:sz w:val="32"/>
          <w:szCs w:val="32"/>
        </w:rPr>
        <w:t>考核，可从医疗、教学、科研和绩效等维度设置考核要素、绩效任务及分值；考核要素应支持提交和审核，系统应自动汇总计算得分，形成考核评价和多维度绩效对比。</w:t>
      </w:r>
    </w:p>
    <w:p w14:paraId="739FA84F" w14:textId="77777777" w:rsidR="002F758E" w:rsidRDefault="00000000">
      <w:pPr>
        <w:pStyle w:val="2"/>
        <w:spacing w:line="592" w:lineRule="exact"/>
        <w:ind w:firstLineChars="200" w:firstLine="630"/>
        <w:jc w:val="both"/>
      </w:pPr>
      <w:r>
        <w:rPr>
          <w:rFonts w:ascii="Times New Roman" w:eastAsia="楷体_GB2312" w:hAnsi="楷体_GB2312" w:cs="Times New Roman"/>
          <w:color w:val="000000"/>
          <w:spacing w:val="-5"/>
          <w:sz w:val="32"/>
          <w:szCs w:val="32"/>
        </w:rPr>
        <w:t>（八）文档、电子记录与认可管理</w:t>
      </w:r>
    </w:p>
    <w:p w14:paraId="5560CC32"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文档管理应按医学实验室质量管理要求，对体系文件和非体系文件实行分类、分级及版本控制；外部文件应覆盖法律法规、标准指南和专家共识，内部文件应覆盖质量手册、程序文件、作业指导书、质量及技术记录、管理制度和通知消息，并形成一个持续更新的检验知识库；文件应支持电子归档和实时查阅。</w:t>
      </w:r>
    </w:p>
    <w:p w14:paraId="3C19BF13"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文档管理应覆盖修订申请、审核、审批发布、分发、作废和归档全过程，支持</w:t>
      </w:r>
      <w:r>
        <w:rPr>
          <w:rFonts w:ascii="Times New Roman" w:eastAsia="仿宋_GB2312" w:hAnsi="仿宋_GB2312" w:cs="Times New Roman"/>
          <w:color w:val="000000"/>
          <w:spacing w:val="-5"/>
          <w:sz w:val="32"/>
          <w:szCs w:val="32"/>
        </w:rPr>
        <w:t>Office</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PDF</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HTML</w:t>
      </w:r>
      <w:r>
        <w:rPr>
          <w:rFonts w:ascii="Times New Roman" w:eastAsia="仿宋_GB2312" w:hAnsi="仿宋_GB2312" w:cs="Times New Roman"/>
          <w:color w:val="000000"/>
          <w:spacing w:val="-5"/>
          <w:sz w:val="32"/>
          <w:szCs w:val="32"/>
        </w:rPr>
        <w:t>、图片、音频和视频等常用格式，以及单个、批量和在线拍照导入；</w:t>
      </w:r>
      <w:r>
        <w:rPr>
          <w:rFonts w:ascii="Times New Roman" w:eastAsia="仿宋_GB2312" w:hAnsi="仿宋_GB2312" w:cs="Times New Roman"/>
          <w:color w:val="000000"/>
          <w:spacing w:val="-5"/>
          <w:sz w:val="32"/>
          <w:szCs w:val="32"/>
        </w:rPr>
        <w:t>Office</w:t>
      </w:r>
      <w:r>
        <w:rPr>
          <w:rFonts w:ascii="Times New Roman" w:eastAsia="仿宋_GB2312" w:hAnsi="仿宋_GB2312" w:cs="Times New Roman"/>
          <w:color w:val="000000"/>
          <w:spacing w:val="-5"/>
          <w:sz w:val="32"/>
          <w:szCs w:val="32"/>
        </w:rPr>
        <w:t>文件应支持在线编辑，自动记录修改痕迹，并支持自定义审批流程和待办提醒。</w:t>
      </w:r>
    </w:p>
    <w:p w14:paraId="6D01931B" w14:textId="77777777" w:rsidR="00C35195" w:rsidRDefault="00000000">
      <w:pPr>
        <w:pStyle w:val="3"/>
        <w:spacing w:line="592" w:lineRule="exact"/>
        <w:ind w:firstLineChars="200" w:firstLine="630"/>
        <w:jc w:val="both"/>
        <w:rPr>
          <w:rFonts w:ascii="Times New Roman" w:eastAsia="仿宋_GB2312" w:hAnsi="仿宋_GB2312" w:cs="Times New Roman"/>
          <w:color w:val="000000"/>
          <w:spacing w:val="-5"/>
          <w:sz w:val="32"/>
          <w:szCs w:val="32"/>
        </w:rPr>
      </w:pPr>
      <w:r>
        <w:rPr>
          <w:rFonts w:ascii="Times New Roman" w:eastAsia="仿宋_GB2312" w:hAnsi="仿宋_GB2312" w:cs="Times New Roman"/>
          <w:color w:val="000000"/>
          <w:spacing w:val="-5"/>
          <w:sz w:val="32"/>
          <w:szCs w:val="32"/>
        </w:rPr>
        <w:t>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文档应与检验知识库关联并自动获取相应知识文件；受控文件应支持安全策略、电子签名、电子印章及分级发布分</w:t>
      </w:r>
    </w:p>
    <w:p w14:paraId="43F1F539" w14:textId="4EF01FD2" w:rsidR="002F758E" w:rsidRDefault="00000000" w:rsidP="00C35195">
      <w:pPr>
        <w:pStyle w:val="3"/>
        <w:spacing w:line="640" w:lineRule="atLeast"/>
        <w:jc w:val="both"/>
      </w:pPr>
      <w:r>
        <w:rPr>
          <w:rFonts w:ascii="Times New Roman" w:eastAsia="仿宋_GB2312" w:hAnsi="仿宋_GB2312" w:cs="Times New Roman"/>
          <w:color w:val="000000"/>
          <w:spacing w:val="-5"/>
          <w:sz w:val="32"/>
          <w:szCs w:val="32"/>
        </w:rPr>
        <w:lastRenderedPageBreak/>
        <w:t>发，支持按词条和关键词检索，并可在工作站、移动终端和互联网终端浏览。</w:t>
      </w:r>
    </w:p>
    <w:p w14:paraId="2488F89B" w14:textId="77777777" w:rsidR="002F758E" w:rsidRDefault="00000000" w:rsidP="00C35195">
      <w:pPr>
        <w:pStyle w:val="3"/>
        <w:spacing w:line="640" w:lineRule="atLeast"/>
        <w:ind w:firstLineChars="200" w:firstLine="630"/>
        <w:jc w:val="both"/>
      </w:pPr>
      <w:r>
        <w:rPr>
          <w:rFonts w:ascii="Times New Roman" w:eastAsia="仿宋_GB2312" w:hAnsi="仿宋_GB2312" w:cs="Times New Roman"/>
          <w:color w:val="000000"/>
          <w:spacing w:val="-5"/>
          <w:sz w:val="32"/>
          <w:szCs w:val="32"/>
        </w:rPr>
        <w:t>4</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提供待订阅审核、修订审批、作废审核审批、待阅读和最近发布等文档业务状态，显示名称、撰写人、发布人、时间、编号、类型、版本和文件夹等必要信息；业务状态应与相应办理流程自动联动，并支持批量通过、驳回和发布。</w:t>
      </w:r>
    </w:p>
    <w:p w14:paraId="0D17E178" w14:textId="77777777" w:rsidR="002F758E" w:rsidRDefault="00000000" w:rsidP="00C35195">
      <w:pPr>
        <w:pStyle w:val="3"/>
        <w:spacing w:line="700" w:lineRule="exact"/>
        <w:ind w:firstLineChars="200" w:firstLine="630"/>
        <w:jc w:val="both"/>
      </w:pPr>
      <w:r>
        <w:rPr>
          <w:rFonts w:ascii="Times New Roman" w:eastAsia="仿宋_GB2312" w:hAnsi="仿宋_GB2312" w:cs="Times New Roman"/>
          <w:color w:val="000000"/>
          <w:spacing w:val="-5"/>
          <w:sz w:val="32"/>
          <w:szCs w:val="32"/>
        </w:rPr>
        <w:t>5</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自动归档的文档应集中管理并保留全生命周期记录；作废审批应与文档审批业务自动联动，支持批量通过和批量驳回。</w:t>
      </w:r>
    </w:p>
    <w:p w14:paraId="67DBF657" w14:textId="77777777" w:rsidR="002F758E" w:rsidRDefault="00000000" w:rsidP="00C35195">
      <w:pPr>
        <w:pStyle w:val="3"/>
        <w:spacing w:line="700" w:lineRule="exact"/>
        <w:ind w:firstLineChars="200" w:firstLine="630"/>
        <w:jc w:val="both"/>
      </w:pPr>
      <w:r>
        <w:rPr>
          <w:rFonts w:ascii="Times New Roman" w:eastAsia="仿宋_GB2312" w:hAnsi="仿宋_GB2312" w:cs="Times New Roman"/>
          <w:color w:val="000000"/>
          <w:spacing w:val="-5"/>
          <w:sz w:val="32"/>
          <w:szCs w:val="32"/>
        </w:rPr>
        <w:t>6</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电子记录应覆盖质量记录和技术记录，支持检索、填写、持续维护并关联质量手册和程序文件；电子表格应设置编号、名称、类型、填写周期、填写方式和受控号规则，自动形成表格清单，覆盖智能提取、设备计划、标本填写、定制填写和文件上传。</w:t>
      </w:r>
    </w:p>
    <w:p w14:paraId="31B02B87" w14:textId="77777777" w:rsidR="002F758E" w:rsidRDefault="00000000" w:rsidP="00C35195">
      <w:pPr>
        <w:pStyle w:val="3"/>
        <w:spacing w:line="640" w:lineRule="exact"/>
        <w:ind w:firstLineChars="200" w:firstLine="630"/>
        <w:jc w:val="both"/>
      </w:pPr>
      <w:r>
        <w:rPr>
          <w:rFonts w:ascii="Times New Roman" w:eastAsia="仿宋_GB2312" w:hAnsi="仿宋_GB2312" w:cs="Times New Roman"/>
          <w:color w:val="000000"/>
          <w:spacing w:val="-5"/>
          <w:sz w:val="32"/>
          <w:szCs w:val="32"/>
        </w:rPr>
        <w:t>7</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电子记录应支持从</w:t>
      </w:r>
      <w:r>
        <w:rPr>
          <w:rFonts w:ascii="Times New Roman" w:eastAsia="仿宋_GB2312" w:hAnsi="仿宋_GB2312" w:cs="Times New Roman"/>
          <w:color w:val="000000"/>
          <w:spacing w:val="-5"/>
          <w:sz w:val="32"/>
          <w:szCs w:val="32"/>
        </w:rPr>
        <w:t>LIS</w:t>
      </w:r>
      <w:r>
        <w:rPr>
          <w:rFonts w:ascii="Times New Roman" w:eastAsia="仿宋_GB2312" w:hAnsi="仿宋_GB2312" w:cs="Times New Roman"/>
          <w:color w:val="000000"/>
          <w:spacing w:val="-5"/>
          <w:sz w:val="32"/>
          <w:szCs w:val="32"/>
        </w:rPr>
        <w:t>提取、直接填写、按维护计划填写和外部记录上传，支持自定义归档打印格式、表格归档和打印；实验室风险识别、分析、评价和处置措施应实行电子化管理。</w:t>
      </w:r>
    </w:p>
    <w:p w14:paraId="27F97D96" w14:textId="77777777" w:rsidR="002F758E" w:rsidRDefault="00000000" w:rsidP="00C35195">
      <w:pPr>
        <w:pStyle w:val="3"/>
        <w:spacing w:line="640" w:lineRule="exact"/>
        <w:ind w:firstLineChars="200" w:firstLine="630"/>
        <w:jc w:val="both"/>
      </w:pPr>
      <w:r>
        <w:rPr>
          <w:rFonts w:ascii="Times New Roman" w:eastAsia="仿宋_GB2312" w:hAnsi="仿宋_GB2312" w:cs="Times New Roman"/>
          <w:color w:val="000000"/>
          <w:spacing w:val="-5"/>
          <w:sz w:val="32"/>
          <w:szCs w:val="32"/>
        </w:rPr>
        <w:t>8</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交班日志应记录班次和人员工作情况，支持一般事件记录和关联表格填写；全部电子记录应支持实时查询，并按医学实验室质量管理要求分类。</w:t>
      </w:r>
    </w:p>
    <w:p w14:paraId="5EF6FE35"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9</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技术类表单应覆盖人员、设施环境、设备、试剂耗材、检验前后过程、质量保证、结果报告和信息管理；管理类表单应覆盖组织职责、文件控制、服务协议、委托检验、外部服务、投诉、不符合项、纠正预防、持续改进、评估审核和管理评审，跨环节表格应按流程分配。</w:t>
      </w:r>
    </w:p>
    <w:p w14:paraId="778B7533"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10</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提供记录统计、表格分类、填写计划和设备维护计划等信息，支持按人员、设备、试剂耗材和设施环境查询档案、计划及记录数量，并按设备计划、自定义填写、文件上传、直接填写、在线填写和按需填写分类；日历应显示每日待填写表格数量。</w:t>
      </w:r>
    </w:p>
    <w:p w14:paraId="0BC9C6A7"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电子记录应与人员档案、设备保养、试剂耗材和设施环境业务自动联动，人员、设备、试剂耗材和设施环境统计应分别关联相应档案、商品字典、表格模板及记录填写业务。</w:t>
      </w:r>
    </w:p>
    <w:p w14:paraId="0B623B7B"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认可管理应提供现行医学实验室认可准则的条款解读、评审方法和支撑材料，支持证据文件、范例、质量文件、程序文件及电子表格等资料的关联、上传、下载和保存，并支持认可条款分类、导入、导出和版本维护。</w:t>
      </w:r>
    </w:p>
    <w:p w14:paraId="563CE153"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内审管理应符合</w:t>
      </w:r>
      <w:r>
        <w:rPr>
          <w:rFonts w:ascii="Times New Roman" w:eastAsia="仿宋_GB2312" w:hAnsi="仿宋_GB2312" w:cs="Times New Roman"/>
          <w:color w:val="000000"/>
          <w:spacing w:val="-5"/>
          <w:sz w:val="32"/>
          <w:szCs w:val="32"/>
        </w:rPr>
        <w:t>CNAS-CL02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2023</w:t>
      </w:r>
      <w:r>
        <w:rPr>
          <w:rFonts w:ascii="Times New Roman" w:eastAsia="仿宋_GB2312" w:hAnsi="仿宋_GB2312" w:cs="Times New Roman"/>
          <w:color w:val="000000"/>
          <w:spacing w:val="-5"/>
          <w:sz w:val="32"/>
          <w:szCs w:val="32"/>
        </w:rPr>
        <w:t>关于内审的相关要求，支持被审核组上传条款资料、审核人员在线审核、不符合项与电子记录关联及整改，覆盖策划、实施和报告形成，并提供内审表单及核查表。</w:t>
      </w:r>
    </w:p>
    <w:p w14:paraId="00EBEF90" w14:textId="77777777" w:rsidR="002F758E" w:rsidRDefault="00000000">
      <w:pPr>
        <w:pStyle w:val="2"/>
        <w:spacing w:line="592" w:lineRule="exact"/>
        <w:ind w:firstLineChars="200" w:firstLine="630"/>
        <w:jc w:val="both"/>
      </w:pPr>
      <w:r>
        <w:rPr>
          <w:rFonts w:ascii="Times New Roman" w:eastAsia="楷体_GB2312" w:hAnsi="楷体_GB2312" w:cs="Times New Roman"/>
          <w:color w:val="000000"/>
          <w:spacing w:val="-5"/>
          <w:sz w:val="32"/>
          <w:szCs w:val="32"/>
        </w:rPr>
        <w:t>（九）数据、接口、信息安全与业务连续性</w:t>
      </w:r>
    </w:p>
    <w:p w14:paraId="698B3098"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供应商应完成原</w:t>
      </w:r>
      <w:r>
        <w:rPr>
          <w:rFonts w:ascii="Times New Roman" w:eastAsia="仿宋_GB2312" w:hAnsi="仿宋_GB2312" w:cs="Times New Roman"/>
          <w:color w:val="000000"/>
          <w:spacing w:val="-5"/>
          <w:sz w:val="32"/>
          <w:szCs w:val="32"/>
        </w:rPr>
        <w:t>LIS</w:t>
      </w:r>
      <w:r>
        <w:rPr>
          <w:rFonts w:ascii="Times New Roman" w:eastAsia="仿宋_GB2312" w:hAnsi="仿宋_GB2312" w:cs="Times New Roman"/>
          <w:color w:val="000000"/>
          <w:spacing w:val="-5"/>
          <w:sz w:val="32"/>
          <w:szCs w:val="32"/>
        </w:rPr>
        <w:t>系统全部历史数据的对照、整理、转换和校验，并根据数据冷热程度及业务时段制定迁移策略，确保升级改造前后数据完整、准确、一致且可查询、统计。</w:t>
      </w:r>
    </w:p>
    <w:p w14:paraId="23A3F458"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历史数据迁移范围应覆盖常规报告、微生物报告、危急值、标本退回、血培养污染、标本流转和报告更正记录，并满足原有查询和国家质量指标统计需要。</w:t>
      </w:r>
    </w:p>
    <w:p w14:paraId="10339A85"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数据迁移和系统切换应保障检验业务连续性，正式切换前应完成数据、接口和业务验证，并保留原系统查询及必要的应急回退能力。</w:t>
      </w:r>
    </w:p>
    <w:p w14:paraId="724111D0"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4</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供应商应制定覆盖服务器、网络和数据库故障的业务连续性及应急处置方案；发生服务器或者网络故障时，系统应切换至单机模式，继续完成仪器联机、报告审核和打印。</w:t>
      </w:r>
    </w:p>
    <w:p w14:paraId="3F30A8CC"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5</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故障恢复后，单机数据应上传至网络版</w:t>
      </w:r>
      <w:r>
        <w:rPr>
          <w:rFonts w:ascii="Times New Roman" w:eastAsia="仿宋_GB2312" w:hAnsi="仿宋_GB2312" w:cs="Times New Roman"/>
          <w:color w:val="000000"/>
          <w:spacing w:val="-5"/>
          <w:sz w:val="32"/>
          <w:szCs w:val="32"/>
        </w:rPr>
        <w:t>LIS</w:t>
      </w:r>
      <w:r>
        <w:rPr>
          <w:rFonts w:ascii="Times New Roman" w:eastAsia="仿宋_GB2312" w:hAnsi="仿宋_GB2312" w:cs="Times New Roman"/>
          <w:color w:val="000000"/>
          <w:spacing w:val="-5"/>
          <w:sz w:val="32"/>
          <w:szCs w:val="32"/>
        </w:rPr>
        <w:t>系统，</w:t>
      </w:r>
      <w:proofErr w:type="gramStart"/>
      <w:r>
        <w:rPr>
          <w:rFonts w:ascii="Times New Roman" w:eastAsia="仿宋_GB2312" w:hAnsi="仿宋_GB2312" w:cs="Times New Roman"/>
          <w:color w:val="000000"/>
          <w:spacing w:val="-5"/>
          <w:sz w:val="32"/>
          <w:szCs w:val="32"/>
        </w:rPr>
        <w:t>单机版应支持</w:t>
      </w:r>
      <w:proofErr w:type="gramEnd"/>
      <w:r>
        <w:rPr>
          <w:rFonts w:ascii="Times New Roman" w:eastAsia="仿宋_GB2312" w:hAnsi="仿宋_GB2312" w:cs="Times New Roman"/>
          <w:color w:val="000000"/>
          <w:spacing w:val="-5"/>
          <w:sz w:val="32"/>
          <w:szCs w:val="32"/>
        </w:rPr>
        <w:t>向导式安装。</w:t>
      </w:r>
    </w:p>
    <w:p w14:paraId="0BEE64ED"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6</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系统应利用医院现有环境形成由本地、异地和分布式备份组成的数据保护体系；在约定备份资源均</w:t>
      </w:r>
      <w:proofErr w:type="gramStart"/>
      <w:r>
        <w:rPr>
          <w:rFonts w:ascii="Times New Roman" w:eastAsia="仿宋_GB2312" w:hAnsi="仿宋_GB2312" w:cs="Times New Roman"/>
          <w:color w:val="000000"/>
          <w:spacing w:val="-5"/>
          <w:sz w:val="32"/>
          <w:szCs w:val="32"/>
        </w:rPr>
        <w:t>可用且</w:t>
      </w:r>
      <w:proofErr w:type="gramEnd"/>
      <w:r>
        <w:rPr>
          <w:rFonts w:ascii="Times New Roman" w:eastAsia="仿宋_GB2312" w:hAnsi="仿宋_GB2312" w:cs="Times New Roman"/>
          <w:color w:val="000000"/>
          <w:spacing w:val="-5"/>
          <w:sz w:val="32"/>
          <w:szCs w:val="32"/>
        </w:rPr>
        <w:t>恢复所需基础设施具备运行条件的前提下，数据库及传统备份因勒索病毒、硬盘损坏或者火灾全部损坏时，应以两小时内恢复核心检验业务为目标，并通过应急演练验证恢复方案。</w:t>
      </w:r>
    </w:p>
    <w:p w14:paraId="4237C4A6"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7</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网络中断时系统应自动提示并持续重连；网络恢复后，无需重</w:t>
      </w:r>
      <w:proofErr w:type="gramStart"/>
      <w:r>
        <w:rPr>
          <w:rFonts w:ascii="Times New Roman" w:eastAsia="仿宋_GB2312" w:hAnsi="仿宋_GB2312" w:cs="Times New Roman"/>
          <w:color w:val="000000"/>
          <w:spacing w:val="-5"/>
          <w:sz w:val="32"/>
          <w:szCs w:val="32"/>
        </w:rPr>
        <w:t>启软件</w:t>
      </w:r>
      <w:proofErr w:type="gramEnd"/>
      <w:r>
        <w:rPr>
          <w:rFonts w:ascii="Times New Roman" w:eastAsia="仿宋_GB2312" w:hAnsi="仿宋_GB2312" w:cs="Times New Roman"/>
          <w:color w:val="000000"/>
          <w:spacing w:val="-5"/>
          <w:sz w:val="32"/>
          <w:szCs w:val="32"/>
        </w:rPr>
        <w:t>即可继续使用。</w:t>
      </w:r>
    </w:p>
    <w:p w14:paraId="5AE6F7B2"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8</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系统应支持设置安全阈值，达到设定条件时主动中断相应操作；前后台数据传输应加密，患者隐私信息应支持加密和脱敏，并提供口令复杂度检查、功能启停、访问权限控制和数据更正留痕。</w:t>
      </w:r>
    </w:p>
    <w:p w14:paraId="39AF982E"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9</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系统应记录主要操作、数据修改、浏览、打印和引用情况，关键业务处理和数据更正过程应可追溯。</w:t>
      </w:r>
    </w:p>
    <w:p w14:paraId="7DA918E5"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10</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系统应遵守国家保密规定，不得非法复制、传播或者扩散医院重要数据。</w:t>
      </w:r>
    </w:p>
    <w:p w14:paraId="20AECD7F"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▲供应商应提供具备相应检测能力的第三方机构出具的</w:t>
      </w:r>
      <w:r>
        <w:rPr>
          <w:rFonts w:ascii="Times New Roman" w:eastAsia="仿宋_GB2312" w:hAnsi="仿宋_GB2312" w:cs="Times New Roman"/>
          <w:color w:val="000000"/>
          <w:spacing w:val="-5"/>
          <w:sz w:val="32"/>
          <w:szCs w:val="32"/>
        </w:rPr>
        <w:t>LIS</w:t>
      </w:r>
      <w:r>
        <w:rPr>
          <w:rFonts w:ascii="Times New Roman" w:eastAsia="仿宋_GB2312" w:hAnsi="仿宋_GB2312" w:cs="Times New Roman"/>
          <w:color w:val="000000"/>
          <w:spacing w:val="-5"/>
          <w:sz w:val="32"/>
          <w:szCs w:val="32"/>
        </w:rPr>
        <w:t>系统源代码安全测试报告，报告应包括测试范围、依据、过程、方法、工具、结果、漏洞分析、弱点统计和测试结论。</w:t>
      </w:r>
    </w:p>
    <w:p w14:paraId="56FA3562" w14:textId="77777777" w:rsidR="002F758E" w:rsidRDefault="00000000">
      <w:pPr>
        <w:pStyle w:val="1"/>
        <w:spacing w:line="592" w:lineRule="exact"/>
        <w:ind w:firstLineChars="200" w:firstLine="630"/>
        <w:jc w:val="both"/>
      </w:pPr>
      <w:r>
        <w:rPr>
          <w:rFonts w:ascii="Times New Roman" w:eastAsia="黑体" w:hAnsi="黑体" w:cs="Times New Roman"/>
          <w:color w:val="000000"/>
          <w:spacing w:val="-5"/>
        </w:rPr>
        <w:t>三、商务要求</w:t>
      </w:r>
    </w:p>
    <w:p w14:paraId="47728FA8" w14:textId="77777777" w:rsidR="002F758E" w:rsidRDefault="00000000">
      <w:pPr>
        <w:pStyle w:val="2"/>
        <w:spacing w:line="592" w:lineRule="exact"/>
        <w:ind w:firstLineChars="200" w:firstLine="630"/>
        <w:jc w:val="both"/>
      </w:pPr>
      <w:r>
        <w:rPr>
          <w:rFonts w:ascii="Times New Roman" w:eastAsia="楷体_GB2312" w:hAnsi="楷体_GB2312" w:cs="Times New Roman"/>
          <w:color w:val="000000"/>
          <w:spacing w:val="-5"/>
          <w:sz w:val="32"/>
          <w:szCs w:val="32"/>
        </w:rPr>
        <w:t>（一）实施周期与进度管理</w:t>
      </w:r>
    </w:p>
    <w:p w14:paraId="53055962"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供应商应在合同生效后</w:t>
      </w:r>
      <w:r>
        <w:rPr>
          <w:rFonts w:ascii="Times New Roman" w:eastAsia="仿宋_GB2312" w:hAnsi="仿宋_GB2312" w:cs="Times New Roman"/>
          <w:color w:val="000000"/>
          <w:spacing w:val="-5"/>
          <w:sz w:val="32"/>
          <w:szCs w:val="32"/>
        </w:rPr>
        <w:t>60</w:t>
      </w:r>
      <w:r>
        <w:rPr>
          <w:rFonts w:ascii="Times New Roman" w:eastAsia="仿宋_GB2312" w:hAnsi="仿宋_GB2312" w:cs="Times New Roman"/>
          <w:color w:val="000000"/>
          <w:spacing w:val="-5"/>
          <w:sz w:val="32"/>
          <w:szCs w:val="32"/>
        </w:rPr>
        <w:t>个日历日内完成新城院区</w:t>
      </w:r>
      <w:r>
        <w:rPr>
          <w:rFonts w:ascii="Times New Roman" w:eastAsia="仿宋_GB2312" w:hAnsi="仿宋_GB2312" w:cs="Times New Roman" w:hint="eastAsia"/>
          <w:color w:val="000000"/>
          <w:spacing w:val="-5"/>
          <w:sz w:val="32"/>
          <w:szCs w:val="32"/>
        </w:rPr>
        <w:t>36</w:t>
      </w:r>
      <w:r>
        <w:rPr>
          <w:rFonts w:ascii="Times New Roman" w:eastAsia="仿宋_GB2312" w:hAnsi="仿宋_GB2312" w:cs="Times New Roman" w:hint="eastAsia"/>
          <w:color w:val="000000"/>
          <w:spacing w:val="-5"/>
          <w:sz w:val="32"/>
          <w:szCs w:val="32"/>
        </w:rPr>
        <w:t>台</w:t>
      </w:r>
      <w:r>
        <w:rPr>
          <w:rFonts w:ascii="Times New Roman" w:eastAsia="仿宋_GB2312" w:hAnsi="仿宋_GB2312" w:cs="Times New Roman" w:hint="eastAsia"/>
          <w:color w:val="000000"/>
          <w:spacing w:val="-5"/>
          <w:sz w:val="32"/>
          <w:szCs w:val="32"/>
        </w:rPr>
        <w:t>/</w:t>
      </w:r>
      <w:r>
        <w:rPr>
          <w:rFonts w:ascii="Times New Roman" w:eastAsia="仿宋_GB2312" w:hAnsi="仿宋_GB2312" w:cs="Times New Roman" w:hint="eastAsia"/>
          <w:color w:val="000000"/>
          <w:spacing w:val="-5"/>
          <w:sz w:val="32"/>
          <w:szCs w:val="32"/>
        </w:rPr>
        <w:t>套</w:t>
      </w:r>
      <w:r>
        <w:rPr>
          <w:rFonts w:ascii="Times New Roman" w:eastAsia="仿宋_GB2312" w:hAnsi="仿宋_GB2312" w:cs="Times New Roman"/>
          <w:color w:val="000000"/>
          <w:spacing w:val="-5"/>
          <w:sz w:val="32"/>
          <w:szCs w:val="32"/>
        </w:rPr>
        <w:t>检验仪器联机、</w:t>
      </w:r>
      <w:r>
        <w:rPr>
          <w:rFonts w:ascii="Times New Roman" w:eastAsia="仿宋_GB2312" w:hAnsi="仿宋_GB2312" w:cs="Times New Roman"/>
          <w:color w:val="000000"/>
          <w:spacing w:val="-5"/>
          <w:sz w:val="32"/>
          <w:szCs w:val="32"/>
        </w:rPr>
        <w:t>LIS</w:t>
      </w:r>
      <w:r>
        <w:rPr>
          <w:rFonts w:ascii="Times New Roman" w:eastAsia="仿宋_GB2312" w:hAnsi="仿宋_GB2312" w:cs="Times New Roman"/>
          <w:color w:val="000000"/>
          <w:spacing w:val="-5"/>
          <w:sz w:val="32"/>
          <w:szCs w:val="32"/>
        </w:rPr>
        <w:t>系统升级改造、历史数据迁移和既有接口适配，使系统达到试运行条件。</w:t>
      </w:r>
    </w:p>
    <w:p w14:paraId="47A003B1"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实施所需医院配合事项和第三方协作事项应纳入项目计划并提前书面提出；仅因医院原因且经双方书面确认影响进度的，相应工期方可按实际影响时间顺延。</w:t>
      </w:r>
    </w:p>
    <w:p w14:paraId="74EA7804"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项目应结合院区启用和业务</w:t>
      </w:r>
      <w:proofErr w:type="gramStart"/>
      <w:r>
        <w:rPr>
          <w:rFonts w:ascii="Times New Roman" w:eastAsia="仿宋_GB2312" w:hAnsi="仿宋_GB2312" w:cs="Times New Roman"/>
          <w:color w:val="000000"/>
          <w:spacing w:val="-5"/>
          <w:sz w:val="32"/>
          <w:szCs w:val="32"/>
        </w:rPr>
        <w:t>安排分</w:t>
      </w:r>
      <w:proofErr w:type="gramEnd"/>
      <w:r>
        <w:rPr>
          <w:rFonts w:ascii="Times New Roman" w:eastAsia="仿宋_GB2312" w:hAnsi="仿宋_GB2312" w:cs="Times New Roman"/>
          <w:color w:val="000000"/>
          <w:spacing w:val="-5"/>
          <w:sz w:val="32"/>
          <w:szCs w:val="32"/>
        </w:rPr>
        <w:t>阶段实施；正式切换前应完成数据、接口、联机和业务验证，原系统应保留查询及应急回退能力，直至升级改造后的系统通过最终验收。</w:t>
      </w:r>
    </w:p>
    <w:p w14:paraId="0EDB1519"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4</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系统应连续试运行</w:t>
      </w:r>
      <w:r>
        <w:rPr>
          <w:rFonts w:ascii="Times New Roman" w:eastAsia="仿宋_GB2312" w:hAnsi="仿宋_GB2312" w:cs="Times New Roman"/>
          <w:color w:val="000000"/>
          <w:spacing w:val="-5"/>
          <w:sz w:val="32"/>
          <w:szCs w:val="32"/>
        </w:rPr>
        <w:t>90</w:t>
      </w:r>
      <w:r>
        <w:rPr>
          <w:rFonts w:ascii="Times New Roman" w:eastAsia="仿宋_GB2312" w:hAnsi="仿宋_GB2312" w:cs="Times New Roman"/>
          <w:color w:val="000000"/>
          <w:spacing w:val="-5"/>
          <w:sz w:val="32"/>
          <w:szCs w:val="32"/>
        </w:rPr>
        <w:t>日；试运行期间运行稳定、问题整改完成并符合验收条件后，方可组织最终验收。</w:t>
      </w:r>
    </w:p>
    <w:p w14:paraId="1F727DF8"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5</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免费质保及运维服务期限为最终验收通过之日起一年。</w:t>
      </w:r>
    </w:p>
    <w:p w14:paraId="34A44489" w14:textId="77777777" w:rsidR="002F758E" w:rsidRDefault="00000000">
      <w:pPr>
        <w:pStyle w:val="2"/>
        <w:spacing w:line="592" w:lineRule="exact"/>
        <w:ind w:firstLineChars="200" w:firstLine="630"/>
        <w:jc w:val="both"/>
      </w:pPr>
      <w:r>
        <w:rPr>
          <w:rFonts w:ascii="Times New Roman" w:eastAsia="楷体_GB2312" w:hAnsi="楷体_GB2312" w:cs="Times New Roman"/>
          <w:color w:val="000000"/>
          <w:spacing w:val="-5"/>
          <w:sz w:val="32"/>
          <w:szCs w:val="32"/>
        </w:rPr>
        <w:t>（二）项目团队与质量管理</w:t>
      </w:r>
    </w:p>
    <w:p w14:paraId="0E790BA5"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供应商应配置覆盖项目管理、系统架构、数据库、接口、数据迁移、检验业务和仪器联机的实施团队，明确项目负责人、专业分工及工作接口。</w:t>
      </w:r>
    </w:p>
    <w:p w14:paraId="46256FA6"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项目负责人应统筹实施进度、跨系统协调、问题处置和上线保障；关键岗位人员应保持相对稳定，人员调整不得影响项目质量和进度。</w:t>
      </w:r>
    </w:p>
    <w:p w14:paraId="59F27D4A"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供应商应建立覆盖需求确认、设计配置、开发适配、数据迁移、接口联调、仪器联机、测试、切换和试运行的质量管理机制。</w:t>
      </w:r>
    </w:p>
    <w:p w14:paraId="55114C68"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4</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实施过程中应形成实施计划、问题台账、变更记录和阶段确认材料；涉及范围、进度、数据、接口及上线安排的重大事项，应经医院书面确认。</w:t>
      </w:r>
    </w:p>
    <w:p w14:paraId="326561AA"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5</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供应商应持续评估实施和切换对检验业务连续性、数据完整性及接口可用性的影响，发现风险时应及时提出处置措施并组织验证。</w:t>
      </w:r>
    </w:p>
    <w:p w14:paraId="2DA57955" w14:textId="77777777" w:rsidR="002F758E" w:rsidRDefault="00000000">
      <w:pPr>
        <w:pStyle w:val="2"/>
        <w:spacing w:line="592" w:lineRule="exact"/>
        <w:ind w:firstLineChars="200" w:firstLine="630"/>
        <w:jc w:val="both"/>
      </w:pPr>
      <w:r>
        <w:rPr>
          <w:rFonts w:ascii="Times New Roman" w:eastAsia="楷体_GB2312" w:hAnsi="楷体_GB2312" w:cs="Times New Roman"/>
          <w:color w:val="000000"/>
          <w:spacing w:val="-5"/>
          <w:sz w:val="32"/>
          <w:szCs w:val="32"/>
        </w:rPr>
        <w:t>（三）交付范围、第三方协调与报价</w:t>
      </w:r>
    </w:p>
    <w:p w14:paraId="3284D8DD"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供应商应完成软件许可、部署配置、历史数据迁移、既有接口适配、新城院区检验仪器联机、测试验证、人员培训和交付资料编制，并对整体交付结果负责。</w:t>
      </w:r>
    </w:p>
    <w:p w14:paraId="494F9868"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供应商应提交项目实施方案、部署配置资料、数据迁移方案及校验记录、接口联调记录、仪器联机清单、逐台测试记录、培训资料、应急回退方案和运维资料；交付资料应完整、准确，并能够支撑验收及后续运维。</w:t>
      </w:r>
    </w:p>
    <w:p w14:paraId="79B877EC"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投标总价应包含软件许可、实施部署、数据迁移、接口适配、第三方接口改造、仪器联机、测试、培训、质保及约定范围内的</w:t>
      </w:r>
      <w:proofErr w:type="gramStart"/>
      <w:r>
        <w:rPr>
          <w:rFonts w:ascii="Times New Roman" w:eastAsia="仿宋_GB2312" w:hAnsi="仿宋_GB2312" w:cs="Times New Roman"/>
          <w:color w:val="000000"/>
          <w:spacing w:val="-5"/>
          <w:sz w:val="32"/>
          <w:szCs w:val="32"/>
        </w:rPr>
        <w:t>信创适配服务</w:t>
      </w:r>
      <w:proofErr w:type="gramEnd"/>
      <w:r>
        <w:rPr>
          <w:rFonts w:ascii="Times New Roman" w:eastAsia="仿宋_GB2312" w:hAnsi="仿宋_GB2312" w:cs="Times New Roman"/>
          <w:color w:val="000000"/>
          <w:spacing w:val="-5"/>
          <w:sz w:val="32"/>
          <w:szCs w:val="32"/>
        </w:rPr>
        <w:t>等全部费用。</w:t>
      </w:r>
    </w:p>
    <w:p w14:paraId="1C31073B"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4</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涉及检验仪器厂商、配套中间软件或者</w:t>
      </w:r>
      <w:proofErr w:type="gramStart"/>
      <w:r>
        <w:rPr>
          <w:rFonts w:ascii="Times New Roman" w:eastAsia="仿宋_GB2312" w:hAnsi="仿宋_GB2312" w:cs="Times New Roman"/>
          <w:color w:val="000000"/>
          <w:spacing w:val="-5"/>
          <w:sz w:val="32"/>
          <w:szCs w:val="32"/>
        </w:rPr>
        <w:t>其他第三</w:t>
      </w:r>
      <w:proofErr w:type="gramEnd"/>
      <w:r>
        <w:rPr>
          <w:rFonts w:ascii="Times New Roman" w:eastAsia="仿宋_GB2312" w:hAnsi="仿宋_GB2312" w:cs="Times New Roman"/>
          <w:color w:val="000000"/>
          <w:spacing w:val="-5"/>
          <w:sz w:val="32"/>
          <w:szCs w:val="32"/>
        </w:rPr>
        <w:t>方提供通信资料、接口授权、技术支持和现场配合的，供应商应负责协调，并将完成</w:t>
      </w:r>
      <w:r>
        <w:rPr>
          <w:rFonts w:ascii="Times New Roman" w:eastAsia="仿宋_GB2312" w:hAnsi="仿宋_GB2312" w:cs="Times New Roman" w:hint="eastAsia"/>
          <w:color w:val="000000"/>
          <w:spacing w:val="-5"/>
          <w:sz w:val="32"/>
          <w:szCs w:val="32"/>
        </w:rPr>
        <w:t>36</w:t>
      </w:r>
      <w:r>
        <w:rPr>
          <w:rFonts w:ascii="Times New Roman" w:eastAsia="仿宋_GB2312" w:hAnsi="仿宋_GB2312" w:cs="Times New Roman" w:hint="eastAsia"/>
          <w:color w:val="000000"/>
          <w:spacing w:val="-5"/>
          <w:sz w:val="32"/>
          <w:szCs w:val="32"/>
        </w:rPr>
        <w:t>台</w:t>
      </w:r>
      <w:r>
        <w:rPr>
          <w:rFonts w:ascii="Times New Roman" w:eastAsia="仿宋_GB2312" w:hAnsi="仿宋_GB2312" w:cs="Times New Roman" w:hint="eastAsia"/>
          <w:color w:val="000000"/>
          <w:spacing w:val="-5"/>
          <w:sz w:val="32"/>
          <w:szCs w:val="32"/>
        </w:rPr>
        <w:t>/</w:t>
      </w:r>
      <w:r>
        <w:rPr>
          <w:rFonts w:ascii="Times New Roman" w:eastAsia="仿宋_GB2312" w:hAnsi="仿宋_GB2312" w:cs="Times New Roman" w:hint="eastAsia"/>
          <w:color w:val="000000"/>
          <w:spacing w:val="-5"/>
          <w:sz w:val="32"/>
          <w:szCs w:val="32"/>
        </w:rPr>
        <w:t>套</w:t>
      </w:r>
      <w:r>
        <w:rPr>
          <w:rFonts w:ascii="Times New Roman" w:eastAsia="仿宋_GB2312" w:hAnsi="仿宋_GB2312" w:cs="Times New Roman"/>
          <w:color w:val="000000"/>
          <w:spacing w:val="-5"/>
          <w:sz w:val="32"/>
          <w:szCs w:val="32"/>
        </w:rPr>
        <w:t>检验仪器联机所必需且可在投标前合理预见的费用纳入投标总价。</w:t>
      </w:r>
    </w:p>
    <w:p w14:paraId="5B048D11"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5</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因本次升级改造导致外部系统必须实施的接口改造，供应商应负责协调并承担费用，医院</w:t>
      </w:r>
      <w:proofErr w:type="gramStart"/>
      <w:r>
        <w:rPr>
          <w:rFonts w:ascii="Times New Roman" w:eastAsia="仿宋_GB2312" w:hAnsi="仿宋_GB2312" w:cs="Times New Roman"/>
          <w:color w:val="000000"/>
          <w:spacing w:val="-5"/>
          <w:sz w:val="32"/>
          <w:szCs w:val="32"/>
        </w:rPr>
        <w:t>不</w:t>
      </w:r>
      <w:proofErr w:type="gramEnd"/>
      <w:r>
        <w:rPr>
          <w:rFonts w:ascii="Times New Roman" w:eastAsia="仿宋_GB2312" w:hAnsi="仿宋_GB2312" w:cs="Times New Roman"/>
          <w:color w:val="000000"/>
          <w:spacing w:val="-5"/>
          <w:sz w:val="32"/>
          <w:szCs w:val="32"/>
        </w:rPr>
        <w:t>另行支付；合同生效后因外部系统自身升级产生的新增改造，不属于本项目费用范围。</w:t>
      </w:r>
    </w:p>
    <w:p w14:paraId="0D2508E7"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6</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医院后续实施信息系统或者</w:t>
      </w:r>
      <w:proofErr w:type="gramStart"/>
      <w:r>
        <w:rPr>
          <w:rFonts w:ascii="Times New Roman" w:eastAsia="仿宋_GB2312" w:hAnsi="仿宋_GB2312" w:cs="Times New Roman"/>
          <w:color w:val="000000"/>
          <w:spacing w:val="-5"/>
          <w:sz w:val="32"/>
          <w:szCs w:val="32"/>
        </w:rPr>
        <w:t>信创改造</w:t>
      </w:r>
      <w:proofErr w:type="gramEnd"/>
      <w:r>
        <w:rPr>
          <w:rFonts w:ascii="Times New Roman" w:eastAsia="仿宋_GB2312" w:hAnsi="仿宋_GB2312" w:cs="Times New Roman"/>
          <w:color w:val="000000"/>
          <w:spacing w:val="-5"/>
          <w:sz w:val="32"/>
          <w:szCs w:val="32"/>
        </w:rPr>
        <w:t>时，在不新增功能模块、不扩大院区和接口范围且不涉及第三</w:t>
      </w:r>
      <w:proofErr w:type="gramStart"/>
      <w:r>
        <w:rPr>
          <w:rFonts w:ascii="Times New Roman" w:eastAsia="仿宋_GB2312" w:hAnsi="仿宋_GB2312" w:cs="Times New Roman"/>
          <w:color w:val="000000"/>
          <w:spacing w:val="-5"/>
          <w:sz w:val="32"/>
          <w:szCs w:val="32"/>
        </w:rPr>
        <w:t>方商业</w:t>
      </w:r>
      <w:proofErr w:type="gramEnd"/>
      <w:r>
        <w:rPr>
          <w:rFonts w:ascii="Times New Roman" w:eastAsia="仿宋_GB2312" w:hAnsi="仿宋_GB2312" w:cs="Times New Roman"/>
          <w:color w:val="000000"/>
          <w:spacing w:val="-5"/>
          <w:sz w:val="32"/>
          <w:szCs w:val="32"/>
        </w:rPr>
        <w:t>许可的前提下，供应商应完成本项目</w:t>
      </w:r>
      <w:r>
        <w:rPr>
          <w:rFonts w:ascii="Times New Roman" w:eastAsia="仿宋_GB2312" w:hAnsi="仿宋_GB2312" w:cs="Times New Roman"/>
          <w:color w:val="000000"/>
          <w:spacing w:val="-5"/>
          <w:sz w:val="32"/>
          <w:szCs w:val="32"/>
        </w:rPr>
        <w:t>LIS</w:t>
      </w:r>
      <w:r>
        <w:rPr>
          <w:rFonts w:ascii="Times New Roman" w:eastAsia="仿宋_GB2312" w:hAnsi="仿宋_GB2312" w:cs="Times New Roman"/>
          <w:color w:val="000000"/>
          <w:spacing w:val="-5"/>
          <w:sz w:val="32"/>
          <w:szCs w:val="32"/>
        </w:rPr>
        <w:t>软件的必要适配、部署、数据迁移、接口联调和运行验证，不得另行收取软件许可费；超出原合同范围的新增开发和实施服务，由双方另行确认。</w:t>
      </w:r>
    </w:p>
    <w:p w14:paraId="2385D02F" w14:textId="77777777" w:rsidR="002F758E" w:rsidRDefault="00000000">
      <w:pPr>
        <w:pStyle w:val="2"/>
        <w:spacing w:line="592" w:lineRule="exact"/>
        <w:ind w:firstLineChars="200" w:firstLine="630"/>
        <w:jc w:val="both"/>
      </w:pPr>
      <w:r>
        <w:rPr>
          <w:rFonts w:ascii="Times New Roman" w:eastAsia="楷体_GB2312" w:hAnsi="楷体_GB2312" w:cs="Times New Roman"/>
          <w:color w:val="000000"/>
          <w:spacing w:val="-5"/>
          <w:sz w:val="32"/>
          <w:szCs w:val="32"/>
        </w:rPr>
        <w:lastRenderedPageBreak/>
        <w:t>（四）培训与资料交付</w:t>
      </w:r>
    </w:p>
    <w:p w14:paraId="0AE41A57"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供应商应结合项目实施和上线安排编制培训方案，并在系统试运行前完成培训；培训对象应包括医院系统管理员及信息运维人员、检验业务骨干和普通业务用户，培训内容和操作权限应与各类人员承担的工作相匹配。</w:t>
      </w:r>
    </w:p>
    <w:p w14:paraId="65B8DD8B"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培训内容应覆盖系统配置与权限管理、检验业务操作、仪器联机、异常处置、数据查询、日常运维和应急处理，并结合理论讲解和实际操作组织考核；考核未达到要求的人员应完成补充培训和再次考核。</w:t>
      </w:r>
    </w:p>
    <w:p w14:paraId="789BA9E7"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供应商应向医院移交培训计划、培训教材、签到记录、考核结果和补训记录；质保期内因本项目功能调整或者人员使用问题确需补充培训的，应及时提供相应培训服务。</w:t>
      </w:r>
    </w:p>
    <w:p w14:paraId="574B4098" w14:textId="77777777" w:rsidR="002F758E" w:rsidRDefault="00000000">
      <w:pPr>
        <w:pStyle w:val="2"/>
        <w:spacing w:line="592" w:lineRule="exact"/>
        <w:ind w:firstLineChars="200" w:firstLine="630"/>
        <w:jc w:val="both"/>
      </w:pPr>
      <w:r>
        <w:rPr>
          <w:rFonts w:ascii="Times New Roman" w:eastAsia="楷体_GB2312" w:hAnsi="楷体_GB2312" w:cs="Times New Roman"/>
          <w:color w:val="000000"/>
          <w:spacing w:val="-5"/>
          <w:sz w:val="32"/>
          <w:szCs w:val="32"/>
        </w:rPr>
        <w:t>（五）测试、试运行与验收</w:t>
      </w:r>
    </w:p>
    <w:p w14:paraId="7F094027"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项目验收以本采购参数、合同、投标响应、经医院确认的实施资料和测试结果为依据，按照功能、接口、数据、仪器联机、信息安全、许可和资料等类别逐项核验。</w:t>
      </w:r>
    </w:p>
    <w:p w14:paraId="3229A067"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检验仪器联机验收应以医院确认的</w:t>
      </w:r>
      <w:r>
        <w:rPr>
          <w:rFonts w:ascii="Times New Roman" w:eastAsia="仿宋_GB2312" w:hAnsi="仿宋_GB2312" w:cs="Times New Roman" w:hint="eastAsia"/>
          <w:color w:val="000000"/>
          <w:spacing w:val="-5"/>
          <w:sz w:val="32"/>
          <w:szCs w:val="32"/>
        </w:rPr>
        <w:t>36</w:t>
      </w:r>
      <w:r>
        <w:rPr>
          <w:rFonts w:ascii="Times New Roman" w:eastAsia="仿宋_GB2312" w:hAnsi="仿宋_GB2312" w:cs="Times New Roman" w:hint="eastAsia"/>
          <w:color w:val="000000"/>
          <w:spacing w:val="-5"/>
          <w:sz w:val="32"/>
          <w:szCs w:val="32"/>
        </w:rPr>
        <w:t>台</w:t>
      </w:r>
      <w:r>
        <w:rPr>
          <w:rFonts w:ascii="Times New Roman" w:eastAsia="仿宋_GB2312" w:hAnsi="仿宋_GB2312" w:cs="Times New Roman" w:hint="eastAsia"/>
          <w:color w:val="000000"/>
          <w:spacing w:val="-5"/>
          <w:sz w:val="32"/>
          <w:szCs w:val="32"/>
        </w:rPr>
        <w:t>/</w:t>
      </w:r>
      <w:proofErr w:type="gramStart"/>
      <w:r>
        <w:rPr>
          <w:rFonts w:ascii="Times New Roman" w:eastAsia="仿宋_GB2312" w:hAnsi="仿宋_GB2312" w:cs="Times New Roman" w:hint="eastAsia"/>
          <w:color w:val="000000"/>
          <w:spacing w:val="-5"/>
          <w:sz w:val="32"/>
          <w:szCs w:val="32"/>
        </w:rPr>
        <w:t>套</w:t>
      </w:r>
      <w:r>
        <w:rPr>
          <w:rFonts w:ascii="Times New Roman" w:eastAsia="仿宋_GB2312" w:hAnsi="仿宋_GB2312" w:cs="Times New Roman"/>
          <w:color w:val="000000"/>
          <w:spacing w:val="-5"/>
          <w:sz w:val="32"/>
          <w:szCs w:val="32"/>
        </w:rPr>
        <w:t>实施</w:t>
      </w:r>
      <w:proofErr w:type="gramEnd"/>
      <w:r>
        <w:rPr>
          <w:rFonts w:ascii="Times New Roman" w:eastAsia="仿宋_GB2312" w:hAnsi="仿宋_GB2312" w:cs="Times New Roman"/>
          <w:color w:val="000000"/>
          <w:spacing w:val="-5"/>
          <w:sz w:val="32"/>
          <w:szCs w:val="32"/>
        </w:rPr>
        <w:t>清单为基础逐台进行，逐台核验连接状态、联机方式、数据交互、代码映射、结果准确性、异常处理、整改复测和测试记录；任</w:t>
      </w:r>
      <w:proofErr w:type="gramStart"/>
      <w:r>
        <w:rPr>
          <w:rFonts w:ascii="Times New Roman" w:eastAsia="仿宋_GB2312" w:hAnsi="仿宋_GB2312" w:cs="Times New Roman"/>
          <w:color w:val="000000"/>
          <w:spacing w:val="-5"/>
          <w:sz w:val="32"/>
          <w:szCs w:val="32"/>
        </w:rPr>
        <w:t>一</w:t>
      </w:r>
      <w:proofErr w:type="gramEnd"/>
      <w:r>
        <w:rPr>
          <w:rFonts w:ascii="Times New Roman" w:eastAsia="仿宋_GB2312" w:hAnsi="仿宋_GB2312" w:cs="Times New Roman"/>
          <w:color w:val="000000"/>
          <w:spacing w:val="-5"/>
          <w:sz w:val="32"/>
          <w:szCs w:val="32"/>
        </w:rPr>
        <w:t>仪器未达到确认的联机要求，不得认定仪器联机工作整体完成。</w:t>
      </w:r>
    </w:p>
    <w:p w14:paraId="7A5EF031"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单向联机仪器</w:t>
      </w:r>
      <w:proofErr w:type="gramStart"/>
      <w:r>
        <w:rPr>
          <w:rFonts w:ascii="Times New Roman" w:eastAsia="仿宋_GB2312" w:hAnsi="仿宋_GB2312" w:cs="Times New Roman"/>
          <w:color w:val="000000"/>
          <w:spacing w:val="-5"/>
          <w:sz w:val="32"/>
          <w:szCs w:val="32"/>
        </w:rPr>
        <w:t>应验收</w:t>
      </w:r>
      <w:proofErr w:type="gramEnd"/>
      <w:r>
        <w:rPr>
          <w:rFonts w:ascii="Times New Roman" w:eastAsia="仿宋_GB2312" w:hAnsi="仿宋_GB2312" w:cs="Times New Roman"/>
          <w:color w:val="000000"/>
          <w:spacing w:val="-5"/>
          <w:sz w:val="32"/>
          <w:szCs w:val="32"/>
        </w:rPr>
        <w:t>检测结果上</w:t>
      </w:r>
      <w:proofErr w:type="gramStart"/>
      <w:r>
        <w:rPr>
          <w:rFonts w:ascii="Times New Roman" w:eastAsia="仿宋_GB2312" w:hAnsi="仿宋_GB2312" w:cs="Times New Roman"/>
          <w:color w:val="000000"/>
          <w:spacing w:val="-5"/>
          <w:sz w:val="32"/>
          <w:szCs w:val="32"/>
        </w:rPr>
        <w:t>传以及</w:t>
      </w:r>
      <w:proofErr w:type="gramEnd"/>
      <w:r>
        <w:rPr>
          <w:rFonts w:ascii="Times New Roman" w:eastAsia="仿宋_GB2312" w:hAnsi="仿宋_GB2312" w:cs="Times New Roman"/>
          <w:color w:val="000000"/>
          <w:spacing w:val="-5"/>
          <w:sz w:val="32"/>
          <w:szCs w:val="32"/>
        </w:rPr>
        <w:t>患者、申请、标本和项目关联的准确性；具备双向通信条件的仪器，还应验收检</w:t>
      </w:r>
      <w:r>
        <w:rPr>
          <w:rFonts w:ascii="Times New Roman" w:eastAsia="仿宋_GB2312" w:hAnsi="仿宋_GB2312" w:cs="Times New Roman"/>
          <w:color w:val="000000"/>
          <w:spacing w:val="-5"/>
          <w:sz w:val="32"/>
          <w:szCs w:val="32"/>
        </w:rPr>
        <w:lastRenderedPageBreak/>
        <w:t>验申请或者标本信息下发、接收确认和检测结果回传，具体内容以仪器实际通信能力及医院确认的测试方案为准。</w:t>
      </w:r>
    </w:p>
    <w:p w14:paraId="76718C55"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4</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功能验收应覆盖本项目所列全部功能模块、升级改造前已有功能和个性化开发，确认新、旧院区均可正常使用，业务结果和使用范围不低于升级改造前水平。</w:t>
      </w:r>
    </w:p>
    <w:p w14:paraId="345C4A5F"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5</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数据迁移验收应核对迁移范围、数据总量、关键字段、报告内容、业务记录、查询结果和统计结果，确认迁移前后数据完整、准确、一致且可追溯。</w:t>
      </w:r>
    </w:p>
    <w:p w14:paraId="36AFB0FF" w14:textId="77777777" w:rsidR="002F758E" w:rsidRDefault="00000000" w:rsidP="00C35195">
      <w:pPr>
        <w:pStyle w:val="3"/>
        <w:spacing w:line="640" w:lineRule="exact"/>
        <w:ind w:firstLineChars="200" w:firstLine="630"/>
        <w:jc w:val="both"/>
      </w:pPr>
      <w:r>
        <w:rPr>
          <w:rFonts w:ascii="Times New Roman" w:eastAsia="仿宋_GB2312" w:hAnsi="仿宋_GB2312" w:cs="Times New Roman"/>
          <w:color w:val="000000"/>
          <w:spacing w:val="-5"/>
          <w:sz w:val="32"/>
          <w:szCs w:val="32"/>
        </w:rPr>
        <w:t>6</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接口验收应逐项验证既有外部接口的业务结果，确认升级和切换未影响原有数据交换及结果共享。</w:t>
      </w:r>
    </w:p>
    <w:p w14:paraId="09E4A6EC" w14:textId="77777777" w:rsidR="002F758E" w:rsidRDefault="00000000" w:rsidP="00C35195">
      <w:pPr>
        <w:pStyle w:val="3"/>
        <w:spacing w:line="640" w:lineRule="exact"/>
        <w:ind w:firstLineChars="200" w:firstLine="630"/>
        <w:jc w:val="both"/>
      </w:pPr>
      <w:r>
        <w:rPr>
          <w:rFonts w:ascii="Times New Roman" w:eastAsia="仿宋_GB2312" w:hAnsi="仿宋_GB2312" w:cs="Times New Roman"/>
          <w:color w:val="000000"/>
          <w:spacing w:val="-5"/>
          <w:sz w:val="32"/>
          <w:szCs w:val="32"/>
        </w:rPr>
        <w:t>7</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最终验收前应完成连续</w:t>
      </w:r>
      <w:r>
        <w:rPr>
          <w:rFonts w:ascii="Times New Roman" w:eastAsia="仿宋_GB2312" w:hAnsi="仿宋_GB2312" w:cs="Times New Roman"/>
          <w:color w:val="000000"/>
          <w:spacing w:val="-5"/>
          <w:sz w:val="32"/>
          <w:szCs w:val="32"/>
        </w:rPr>
        <w:t>90</w:t>
      </w:r>
      <w:r>
        <w:rPr>
          <w:rFonts w:ascii="Times New Roman" w:eastAsia="仿宋_GB2312" w:hAnsi="仿宋_GB2312" w:cs="Times New Roman"/>
          <w:color w:val="000000"/>
          <w:spacing w:val="-5"/>
          <w:sz w:val="32"/>
          <w:szCs w:val="32"/>
        </w:rPr>
        <w:t>日试运行、全部问题整改和交付资料移交，并提供医院永久许可及原有许可权益</w:t>
      </w:r>
      <w:proofErr w:type="gramStart"/>
      <w:r>
        <w:rPr>
          <w:rFonts w:ascii="Times New Roman" w:eastAsia="仿宋_GB2312" w:hAnsi="仿宋_GB2312" w:cs="Times New Roman"/>
          <w:color w:val="000000"/>
          <w:spacing w:val="-5"/>
          <w:sz w:val="32"/>
          <w:szCs w:val="32"/>
        </w:rPr>
        <w:t>不</w:t>
      </w:r>
      <w:proofErr w:type="gramEnd"/>
      <w:r>
        <w:rPr>
          <w:rFonts w:ascii="Times New Roman" w:eastAsia="仿宋_GB2312" w:hAnsi="仿宋_GB2312" w:cs="Times New Roman"/>
          <w:color w:val="000000"/>
          <w:spacing w:val="-5"/>
          <w:sz w:val="32"/>
          <w:szCs w:val="32"/>
        </w:rPr>
        <w:t>减损的证明材料。</w:t>
      </w:r>
    </w:p>
    <w:p w14:paraId="296F2953" w14:textId="77777777" w:rsidR="002F758E" w:rsidRDefault="00000000">
      <w:pPr>
        <w:pStyle w:val="2"/>
        <w:spacing w:line="592" w:lineRule="exact"/>
        <w:ind w:firstLineChars="200" w:firstLine="630"/>
        <w:jc w:val="both"/>
      </w:pPr>
      <w:r>
        <w:rPr>
          <w:rFonts w:ascii="Times New Roman" w:eastAsia="楷体_GB2312" w:hAnsi="楷体_GB2312" w:cs="Times New Roman"/>
          <w:color w:val="000000"/>
          <w:spacing w:val="-5"/>
          <w:sz w:val="32"/>
          <w:szCs w:val="32"/>
        </w:rPr>
        <w:t>（六）质保、运维与履约责任</w:t>
      </w:r>
    </w:p>
    <w:p w14:paraId="65F38A24"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供应商应对项目进度、业务连续性、数据完整性、既有功能继承、接口可用性、仪器联机结果和问题整改承担履约责任。</w:t>
      </w:r>
    </w:p>
    <w:p w14:paraId="12D6022B"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质保期内应提供</w:t>
      </w:r>
      <w:r>
        <w:rPr>
          <w:rFonts w:ascii="Times New Roman" w:eastAsia="仿宋_GB2312" w:hAnsi="仿宋_GB2312" w:cs="Times New Roman"/>
          <w:color w:val="000000"/>
          <w:spacing w:val="-5"/>
          <w:sz w:val="32"/>
          <w:szCs w:val="32"/>
        </w:rPr>
        <w:t>7</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24</w:t>
      </w:r>
      <w:r>
        <w:rPr>
          <w:rFonts w:ascii="Times New Roman" w:eastAsia="仿宋_GB2312" w:hAnsi="仿宋_GB2312" w:cs="Times New Roman"/>
          <w:color w:val="000000"/>
          <w:spacing w:val="-5"/>
          <w:sz w:val="32"/>
          <w:szCs w:val="32"/>
        </w:rPr>
        <w:t>小时技术支持，接报后</w:t>
      </w:r>
      <w:r>
        <w:rPr>
          <w:rFonts w:ascii="Times New Roman" w:eastAsia="仿宋_GB2312" w:hAnsi="仿宋_GB2312" w:cs="Times New Roman"/>
          <w:color w:val="000000"/>
          <w:spacing w:val="-5"/>
          <w:sz w:val="32"/>
          <w:szCs w:val="32"/>
        </w:rPr>
        <w:t>30</w:t>
      </w:r>
      <w:r>
        <w:rPr>
          <w:rFonts w:ascii="Times New Roman" w:eastAsia="仿宋_GB2312" w:hAnsi="仿宋_GB2312" w:cs="Times New Roman"/>
          <w:color w:val="000000"/>
          <w:spacing w:val="-5"/>
          <w:sz w:val="32"/>
          <w:szCs w:val="32"/>
        </w:rPr>
        <w:t>分钟内响应，</w:t>
      </w:r>
      <w:r>
        <w:rPr>
          <w:rFonts w:ascii="Times New Roman" w:eastAsia="仿宋_GB2312" w:hAnsi="仿宋_GB2312" w:cs="Times New Roman"/>
          <w:color w:val="000000"/>
          <w:spacing w:val="-5"/>
          <w:sz w:val="32"/>
          <w:szCs w:val="32"/>
        </w:rPr>
        <w:t>2</w:t>
      </w:r>
      <w:r>
        <w:rPr>
          <w:rFonts w:ascii="Times New Roman" w:eastAsia="仿宋_GB2312" w:hAnsi="仿宋_GB2312" w:cs="Times New Roman"/>
          <w:color w:val="000000"/>
          <w:spacing w:val="-5"/>
          <w:sz w:val="32"/>
          <w:szCs w:val="32"/>
        </w:rPr>
        <w:t>小时内完成远程处置或者提出解决方案；影响检验业务连续运行的重大故障远程无法解决时，应在</w:t>
      </w:r>
      <w:r>
        <w:rPr>
          <w:rFonts w:ascii="Times New Roman" w:eastAsia="仿宋_GB2312" w:hAnsi="仿宋_GB2312" w:cs="Times New Roman"/>
          <w:color w:val="000000"/>
          <w:spacing w:val="-5"/>
          <w:sz w:val="32"/>
          <w:szCs w:val="32"/>
        </w:rPr>
        <w:t>4</w:t>
      </w:r>
      <w:r>
        <w:rPr>
          <w:rFonts w:ascii="Times New Roman" w:eastAsia="仿宋_GB2312" w:hAnsi="仿宋_GB2312" w:cs="Times New Roman"/>
          <w:color w:val="000000"/>
          <w:spacing w:val="-5"/>
          <w:sz w:val="32"/>
          <w:szCs w:val="32"/>
        </w:rPr>
        <w:t>小时内到达现场。</w:t>
      </w:r>
    </w:p>
    <w:p w14:paraId="61606B0B"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lastRenderedPageBreak/>
        <w:t>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供应商未按期完成交付、未完整继承既有功能、造成数据缺失或者接口和仪器联机无法正常运行的，应及时整改并承担相应违约责任。</w:t>
      </w:r>
    </w:p>
    <w:p w14:paraId="48B4F9F3" w14:textId="77777777" w:rsidR="002F758E" w:rsidRDefault="00000000">
      <w:pPr>
        <w:pStyle w:val="2"/>
        <w:spacing w:line="592" w:lineRule="exact"/>
        <w:ind w:firstLineChars="200" w:firstLine="630"/>
        <w:jc w:val="both"/>
      </w:pPr>
      <w:r>
        <w:rPr>
          <w:rFonts w:ascii="Times New Roman" w:eastAsia="楷体_GB2312" w:hAnsi="楷体_GB2312" w:cs="Times New Roman"/>
          <w:color w:val="000000"/>
          <w:spacing w:val="-5"/>
          <w:sz w:val="32"/>
          <w:szCs w:val="32"/>
        </w:rPr>
        <w:t>（七）许可、数据权益与保密责任</w:t>
      </w:r>
    </w:p>
    <w:p w14:paraId="1CBA59EB"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1</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本项目全部功能模块采用医院永久许可，覆盖新、旧院区，不限制院内客户端、用户账号和并发使用数量；原有许可数量、期限和功能权益不得减少、替换或者重新限期。</w:t>
      </w:r>
    </w:p>
    <w:p w14:paraId="24F9C730"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2</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项目数据归医院所有，医院享有查询和以可用格式导出的权利。</w:t>
      </w:r>
    </w:p>
    <w:p w14:paraId="42AB8BCA"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3</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供应商应对患者信息、检验数据、人员信息、接口资料、账号信息和系统配置承担保密及安全责任。</w:t>
      </w:r>
    </w:p>
    <w:p w14:paraId="4D63577A"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4</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未经医院书面授权，供应商不得复制、留存、披露、转移或者将项目数据和资料用于本项目以外的任何目的；项目结束后应按医院要求完成资料移交或者清理。</w:t>
      </w:r>
    </w:p>
    <w:p w14:paraId="0EEC5AE6" w14:textId="77777777" w:rsidR="002F758E" w:rsidRDefault="00000000">
      <w:pPr>
        <w:pStyle w:val="3"/>
        <w:spacing w:line="592" w:lineRule="exact"/>
        <w:ind w:firstLineChars="200" w:firstLine="630"/>
        <w:jc w:val="both"/>
      </w:pPr>
      <w:r>
        <w:rPr>
          <w:rFonts w:ascii="Times New Roman" w:eastAsia="仿宋_GB2312" w:hAnsi="仿宋_GB2312" w:cs="Times New Roman"/>
          <w:color w:val="000000"/>
          <w:spacing w:val="-5"/>
          <w:sz w:val="32"/>
          <w:szCs w:val="32"/>
        </w:rPr>
        <w:t>5</w:t>
      </w:r>
      <w:r>
        <w:rPr>
          <w:rFonts w:ascii="Times New Roman" w:eastAsia="仿宋_GB2312" w:hAnsi="仿宋_GB2312" w:cs="Times New Roman"/>
          <w:color w:val="000000"/>
          <w:spacing w:val="-5"/>
          <w:sz w:val="32"/>
          <w:szCs w:val="32"/>
        </w:rPr>
        <w:t>．</w:t>
      </w:r>
      <w:r>
        <w:rPr>
          <w:rFonts w:ascii="Times New Roman" w:eastAsia="仿宋_GB2312" w:hAnsi="仿宋_GB2312" w:cs="Times New Roman"/>
          <w:color w:val="000000"/>
          <w:spacing w:val="-5"/>
          <w:sz w:val="32"/>
          <w:szCs w:val="32"/>
        </w:rPr>
        <w:tab/>
      </w:r>
      <w:r>
        <w:rPr>
          <w:rFonts w:ascii="Times New Roman" w:eastAsia="仿宋_GB2312" w:hAnsi="仿宋_GB2312" w:cs="Times New Roman"/>
          <w:color w:val="000000"/>
          <w:spacing w:val="-5"/>
          <w:sz w:val="32"/>
          <w:szCs w:val="32"/>
        </w:rPr>
        <w:t>供应商应保证交付的软件、组件和资料不存在侵犯第三方知识产权的情形，并承担由此产生的责任；</w:t>
      </w:r>
      <w:proofErr w:type="gramStart"/>
      <w:r>
        <w:rPr>
          <w:rFonts w:ascii="Times New Roman" w:eastAsia="仿宋_GB2312" w:hAnsi="仿宋_GB2312" w:cs="Times New Roman"/>
          <w:color w:val="000000"/>
          <w:spacing w:val="-5"/>
          <w:sz w:val="32"/>
          <w:szCs w:val="32"/>
        </w:rPr>
        <w:t>后续信创</w:t>
      </w:r>
      <w:proofErr w:type="gramEnd"/>
      <w:r>
        <w:rPr>
          <w:rFonts w:ascii="Times New Roman" w:eastAsia="仿宋_GB2312" w:hAnsi="仿宋_GB2312" w:cs="Times New Roman"/>
          <w:color w:val="000000"/>
          <w:spacing w:val="-5"/>
          <w:sz w:val="32"/>
          <w:szCs w:val="32"/>
        </w:rPr>
        <w:t>适配中，供应商承担</w:t>
      </w:r>
      <w:r>
        <w:rPr>
          <w:rFonts w:ascii="Times New Roman" w:eastAsia="仿宋_GB2312" w:hAnsi="仿宋_GB2312" w:cs="Times New Roman"/>
          <w:color w:val="000000"/>
          <w:spacing w:val="-5"/>
          <w:sz w:val="32"/>
          <w:szCs w:val="32"/>
        </w:rPr>
        <w:t>LIS</w:t>
      </w:r>
      <w:r>
        <w:rPr>
          <w:rFonts w:ascii="Times New Roman" w:eastAsia="仿宋_GB2312" w:hAnsi="仿宋_GB2312" w:cs="Times New Roman"/>
          <w:color w:val="000000"/>
          <w:spacing w:val="-5"/>
          <w:sz w:val="32"/>
          <w:szCs w:val="32"/>
        </w:rPr>
        <w:t>软件及约定范围内的实施服务责任，医院</w:t>
      </w:r>
      <w:proofErr w:type="gramStart"/>
      <w:r>
        <w:rPr>
          <w:rFonts w:ascii="Times New Roman" w:eastAsia="仿宋_GB2312" w:hAnsi="仿宋_GB2312" w:cs="Times New Roman"/>
          <w:color w:val="000000"/>
          <w:spacing w:val="-5"/>
          <w:sz w:val="32"/>
          <w:szCs w:val="32"/>
        </w:rPr>
        <w:t>承担信创</w:t>
      </w:r>
      <w:proofErr w:type="gramEnd"/>
      <w:r>
        <w:rPr>
          <w:rFonts w:ascii="Times New Roman" w:eastAsia="仿宋_GB2312" w:hAnsi="仿宋_GB2312" w:cs="Times New Roman"/>
          <w:color w:val="000000"/>
          <w:spacing w:val="-5"/>
          <w:sz w:val="32"/>
          <w:szCs w:val="32"/>
        </w:rPr>
        <w:t>硬件和第三</w:t>
      </w:r>
      <w:proofErr w:type="gramStart"/>
      <w:r>
        <w:rPr>
          <w:rFonts w:ascii="Times New Roman" w:eastAsia="仿宋_GB2312" w:hAnsi="仿宋_GB2312" w:cs="Times New Roman"/>
          <w:color w:val="000000"/>
          <w:spacing w:val="-5"/>
          <w:sz w:val="32"/>
          <w:szCs w:val="32"/>
        </w:rPr>
        <w:t>方基础</w:t>
      </w:r>
      <w:proofErr w:type="gramEnd"/>
      <w:r>
        <w:rPr>
          <w:rFonts w:ascii="Times New Roman" w:eastAsia="仿宋_GB2312" w:hAnsi="仿宋_GB2312" w:cs="Times New Roman"/>
          <w:color w:val="000000"/>
          <w:spacing w:val="-5"/>
          <w:sz w:val="32"/>
          <w:szCs w:val="32"/>
        </w:rPr>
        <w:t>软件商业许可责任。</w:t>
      </w:r>
    </w:p>
    <w:sectPr w:rsidR="002F758E">
      <w:footerReference w:type="even" r:id="rId6"/>
      <w:footerReference w:type="default" r:id="rId7"/>
      <w:pgSz w:w="11906" w:h="16838"/>
      <w:pgMar w:top="1962" w:right="1474" w:bottom="1848" w:left="158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73600" w14:textId="77777777" w:rsidR="00F515CB" w:rsidRDefault="00F515CB">
      <w:r>
        <w:separator/>
      </w:r>
    </w:p>
  </w:endnote>
  <w:endnote w:type="continuationSeparator" w:id="0">
    <w:p w14:paraId="4046079F" w14:textId="77777777" w:rsidR="00F515CB" w:rsidRDefault="00F51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微软雅黑"/>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92874" w14:textId="39DA4EF8" w:rsidR="002F758E" w:rsidRDefault="00000000">
    <w:pPr>
      <w:spacing w:before="397"/>
      <w:ind w:left="280"/>
      <w:jc w:val="left"/>
    </w:pPr>
    <w:r>
      <w:rPr>
        <w:rFonts w:ascii="宋体" w:eastAsia="宋体" w:hAnsi="宋体" w:cs="宋体"/>
        <w:sz w:val="28"/>
        <w:szCs w:val="28"/>
      </w:rPr>
      <w:t xml:space="preserve">— </w:t>
    </w:r>
    <w:r>
      <w:rPr>
        <w:rFonts w:ascii="宋体" w:eastAsia="宋体" w:hAnsi="宋体" w:cs="宋体"/>
        <w:sz w:val="28"/>
        <w:szCs w:val="28"/>
      </w:rPr>
      <w:fldChar w:fldCharType="begin"/>
    </w:r>
    <w:r>
      <w:rPr>
        <w:rFonts w:ascii="宋体" w:eastAsia="宋体" w:hAnsi="宋体" w:cs="宋体"/>
        <w:sz w:val="28"/>
        <w:szCs w:val="28"/>
      </w:rPr>
      <w:instrText>PAGE</w:instrText>
    </w:r>
    <w:r>
      <w:rPr>
        <w:rFonts w:ascii="宋体" w:eastAsia="宋体" w:hAnsi="宋体" w:cs="宋体" w:hint="eastAsia"/>
        <w:sz w:val="28"/>
        <w:szCs w:val="28"/>
      </w:rPr>
      <w:fldChar w:fldCharType="separate"/>
    </w:r>
    <w:r w:rsidR="00C35195">
      <w:rPr>
        <w:rFonts w:ascii="宋体" w:eastAsia="宋体" w:hAnsi="宋体" w:cs="宋体" w:hint="eastAsia"/>
        <w:noProof/>
        <w:sz w:val="28"/>
        <w:szCs w:val="28"/>
      </w:rPr>
      <w:t>2</w:t>
    </w:r>
    <w:r>
      <w:rPr>
        <w:rFonts w:ascii="宋体" w:eastAsia="宋体" w:hAnsi="宋体" w:cs="宋体"/>
        <w:sz w:val="28"/>
        <w:szCs w:val="28"/>
      </w:rPr>
      <w:fldChar w:fldCharType="end"/>
    </w:r>
    <w:r>
      <w:rPr>
        <w:rFonts w:ascii="宋体" w:eastAsia="宋体" w:hAnsi="宋体" w:cs="宋体"/>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70F2F" w14:textId="05F8EE4A" w:rsidR="002F758E" w:rsidRDefault="00000000">
    <w:pPr>
      <w:spacing w:before="397"/>
      <w:ind w:right="280"/>
      <w:jc w:val="right"/>
    </w:pPr>
    <w:r>
      <w:rPr>
        <w:rFonts w:ascii="宋体" w:eastAsia="宋体" w:hAnsi="宋体" w:cs="宋体"/>
        <w:sz w:val="28"/>
        <w:szCs w:val="28"/>
      </w:rPr>
      <w:t xml:space="preserve">— </w:t>
    </w:r>
    <w:r>
      <w:rPr>
        <w:rFonts w:ascii="宋体" w:eastAsia="宋体" w:hAnsi="宋体" w:cs="宋体"/>
        <w:sz w:val="28"/>
        <w:szCs w:val="28"/>
      </w:rPr>
      <w:fldChar w:fldCharType="begin"/>
    </w:r>
    <w:r>
      <w:rPr>
        <w:rFonts w:ascii="宋体" w:eastAsia="宋体" w:hAnsi="宋体" w:cs="宋体"/>
        <w:sz w:val="28"/>
        <w:szCs w:val="28"/>
      </w:rPr>
      <w:instrText>PAGE</w:instrText>
    </w:r>
    <w:r>
      <w:rPr>
        <w:rFonts w:ascii="宋体" w:eastAsia="宋体" w:hAnsi="宋体" w:cs="宋体" w:hint="eastAsia"/>
        <w:sz w:val="28"/>
        <w:szCs w:val="28"/>
      </w:rPr>
      <w:fldChar w:fldCharType="separate"/>
    </w:r>
    <w:r w:rsidR="00C35195">
      <w:rPr>
        <w:rFonts w:ascii="宋体" w:eastAsia="宋体" w:hAnsi="宋体" w:cs="宋体" w:hint="eastAsia"/>
        <w:noProof/>
        <w:sz w:val="28"/>
        <w:szCs w:val="28"/>
      </w:rPr>
      <w:t>1</w:t>
    </w:r>
    <w:r>
      <w:rPr>
        <w:rFonts w:ascii="宋体" w:eastAsia="宋体" w:hAnsi="宋体" w:cs="宋体"/>
        <w:sz w:val="28"/>
        <w:szCs w:val="28"/>
      </w:rPr>
      <w:fldChar w:fldCharType="end"/>
    </w:r>
    <w:r>
      <w:rPr>
        <w:rFonts w:ascii="宋体" w:eastAsia="宋体" w:hAnsi="宋体" w:cs="宋体"/>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53FED" w14:textId="77777777" w:rsidR="00F515CB" w:rsidRDefault="00F515CB">
      <w:r>
        <w:separator/>
      </w:r>
    </w:p>
  </w:footnote>
  <w:footnote w:type="continuationSeparator" w:id="0">
    <w:p w14:paraId="1F147281" w14:textId="77777777" w:rsidR="00F515CB" w:rsidRDefault="00F515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58E"/>
    <w:rsid w:val="002F758E"/>
    <w:rsid w:val="00333181"/>
    <w:rsid w:val="00C35195"/>
    <w:rsid w:val="00F515CB"/>
    <w:rsid w:val="5DCA7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D6EFA"/>
  <w15:docId w15:val="{0AD235D2-B4C1-4E0F-9A48-1BD3E69C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lsdException w:name="caption" w:semiHidden="1" w:unhideWhenUsed="1" w:qFormat="1"/>
    <w:lsdException w:name="footnote reference" w:semiHidden="1" w:uiPriority="99" w:unhideWhenUsed="1"/>
    <w:lsdException w:name="endnote reference" w:semiHidden="1" w:uiPriority="99" w:unhideWhenUsed="1"/>
    <w:lsdException w:name="endnote text" w:semiHidden="1" w:uiPriority="99" w:unhideWhenUsed="1"/>
    <w:lsdException w:name="Title" w:qFormat="1"/>
    <w:lsdException w:name="Default Paragraph Font" w:semiHidden="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2"/>
    </w:rPr>
  </w:style>
  <w:style w:type="paragraph" w:styleId="1">
    <w:name w:val="heading 1"/>
    <w:next w:val="a"/>
    <w:qFormat/>
    <w:pPr>
      <w:outlineLvl w:val="0"/>
    </w:pPr>
    <w:rPr>
      <w:color w:val="2E74B5"/>
      <w:sz w:val="32"/>
      <w:szCs w:val="32"/>
    </w:rPr>
  </w:style>
  <w:style w:type="paragraph" w:styleId="2">
    <w:name w:val="heading 2"/>
    <w:next w:val="a"/>
    <w:qFormat/>
    <w:pPr>
      <w:outlineLvl w:val="1"/>
    </w:pPr>
    <w:rPr>
      <w:color w:val="2E74B5"/>
      <w:sz w:val="26"/>
      <w:szCs w:val="26"/>
    </w:rPr>
  </w:style>
  <w:style w:type="paragraph" w:styleId="3">
    <w:name w:val="heading 3"/>
    <w:next w:val="a"/>
    <w:qFormat/>
    <w:pPr>
      <w:outlineLvl w:val="2"/>
    </w:pPr>
    <w:rPr>
      <w:color w:val="1F4D78"/>
      <w:sz w:val="24"/>
      <w:szCs w:val="24"/>
    </w:rPr>
  </w:style>
  <w:style w:type="paragraph" w:styleId="4">
    <w:name w:val="heading 4"/>
    <w:next w:val="a"/>
    <w:qFormat/>
    <w:pPr>
      <w:outlineLvl w:val="3"/>
    </w:pPr>
    <w:rPr>
      <w:i/>
      <w:iCs/>
      <w:color w:val="2E74B5"/>
      <w:sz w:val="21"/>
      <w:szCs w:val="22"/>
    </w:rPr>
  </w:style>
  <w:style w:type="paragraph" w:styleId="5">
    <w:name w:val="heading 5"/>
    <w:next w:val="a"/>
    <w:qFormat/>
    <w:pPr>
      <w:outlineLvl w:val="4"/>
    </w:pPr>
    <w:rPr>
      <w:color w:val="2E74B5"/>
      <w:sz w:val="21"/>
      <w:szCs w:val="22"/>
    </w:rPr>
  </w:style>
  <w:style w:type="paragraph" w:styleId="6">
    <w:name w:val="heading 6"/>
    <w:next w:val="a"/>
    <w:qFormat/>
    <w:pPr>
      <w:outlineLvl w:val="5"/>
    </w:pPr>
    <w:rPr>
      <w:color w:val="1F4D78"/>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link w:val="a4"/>
    <w:uiPriority w:val="99"/>
    <w:semiHidden/>
    <w:unhideWhenUsed/>
  </w:style>
  <w:style w:type="paragraph" w:styleId="a5">
    <w:name w:val="footnote text"/>
    <w:link w:val="a6"/>
    <w:uiPriority w:val="99"/>
    <w:semiHidden/>
    <w:unhideWhenUsed/>
  </w:style>
  <w:style w:type="paragraph" w:styleId="a7">
    <w:name w:val="Title"/>
    <w:qFormat/>
    <w:rPr>
      <w:sz w:val="56"/>
      <w:szCs w:val="56"/>
    </w:rPr>
  </w:style>
  <w:style w:type="character" w:styleId="a8">
    <w:name w:val="endnote reference"/>
    <w:uiPriority w:val="99"/>
    <w:semiHidden/>
    <w:unhideWhenUsed/>
    <w:rPr>
      <w:vertAlign w:val="superscript"/>
    </w:rPr>
  </w:style>
  <w:style w:type="character" w:styleId="a9">
    <w:name w:val="Hyperlink"/>
    <w:uiPriority w:val="99"/>
    <w:unhideWhenUsed/>
    <w:rPr>
      <w:color w:val="0563C1"/>
      <w:u w:val="single"/>
    </w:rPr>
  </w:style>
  <w:style w:type="character" w:styleId="aa">
    <w:name w:val="footnote reference"/>
    <w:uiPriority w:val="99"/>
    <w:semiHidden/>
    <w:unhideWhenUsed/>
    <w:rPr>
      <w:vertAlign w:val="superscript"/>
    </w:rPr>
  </w:style>
  <w:style w:type="paragraph" w:styleId="ab">
    <w:name w:val="List Paragraph"/>
    <w:qFormat/>
    <w:rPr>
      <w:sz w:val="21"/>
      <w:szCs w:val="22"/>
    </w:rPr>
  </w:style>
  <w:style w:type="character" w:customStyle="1" w:styleId="a6">
    <w:name w:val="脚注文本 字符"/>
    <w:link w:val="a5"/>
    <w:uiPriority w:val="99"/>
    <w:semiHidden/>
    <w:unhideWhenUsed/>
    <w:rPr>
      <w:sz w:val="20"/>
      <w:szCs w:val="20"/>
    </w:rPr>
  </w:style>
  <w:style w:type="character" w:customStyle="1" w:styleId="a4">
    <w:name w:val="尾注文本 字符"/>
    <w:link w:val="a3"/>
    <w:uiPriority w:val="99"/>
    <w:semiHidden/>
    <w:unhideWhenUsed/>
    <w:rPr>
      <w:sz w:val="20"/>
      <w:szCs w:val="20"/>
    </w:rPr>
  </w:style>
  <w:style w:type="paragraph" w:styleId="ac">
    <w:name w:val="header"/>
    <w:basedOn w:val="a"/>
    <w:link w:val="ad"/>
    <w:rsid w:val="00C35195"/>
    <w:pPr>
      <w:tabs>
        <w:tab w:val="center" w:pos="4153"/>
        <w:tab w:val="right" w:pos="8306"/>
      </w:tabs>
      <w:snapToGrid w:val="0"/>
      <w:jc w:val="center"/>
    </w:pPr>
    <w:rPr>
      <w:sz w:val="18"/>
      <w:szCs w:val="18"/>
    </w:rPr>
  </w:style>
  <w:style w:type="character" w:customStyle="1" w:styleId="ad">
    <w:name w:val="页眉 字符"/>
    <w:basedOn w:val="a0"/>
    <w:link w:val="ac"/>
    <w:rsid w:val="00C35195"/>
    <w:rPr>
      <w:sz w:val="18"/>
      <w:szCs w:val="18"/>
    </w:rPr>
  </w:style>
  <w:style w:type="paragraph" w:styleId="ae">
    <w:name w:val="footer"/>
    <w:basedOn w:val="a"/>
    <w:link w:val="af"/>
    <w:rsid w:val="00C35195"/>
    <w:pPr>
      <w:tabs>
        <w:tab w:val="center" w:pos="4153"/>
        <w:tab w:val="right" w:pos="8306"/>
      </w:tabs>
      <w:snapToGrid w:val="0"/>
      <w:jc w:val="left"/>
    </w:pPr>
    <w:rPr>
      <w:sz w:val="18"/>
      <w:szCs w:val="18"/>
    </w:rPr>
  </w:style>
  <w:style w:type="character" w:customStyle="1" w:styleId="af">
    <w:name w:val="页脚 字符"/>
    <w:basedOn w:val="a0"/>
    <w:link w:val="ae"/>
    <w:rsid w:val="00C3519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26</Pages>
  <Words>1891</Words>
  <Characters>10779</Characters>
  <Application>Microsoft Office Word</Application>
  <DocSecurity>0</DocSecurity>
  <Lines>89</Lines>
  <Paragraphs>25</Paragraphs>
  <ScaleCrop>false</ScaleCrop>
  <Company/>
  <LinksUpToDate>false</LinksUpToDate>
  <CharactersWithSpaces>12645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苒岚 白</cp:lastModifiedBy>
  <cp:revision>2</cp:revision>
  <dcterms:created xsi:type="dcterms:W3CDTF">2026-08-11T08:30:00Z</dcterms:created>
  <dcterms:modified xsi:type="dcterms:W3CDTF">2026-08-24T00:34:00Z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eyJoZGlkIjoiZTYzMGMyYzg3MjY0NzAxNzJiYWJlZThmMWI2ZWI1YmEiLCJ1c2VySWQiOiIzMTQ1NDk2MDUifQ==</vt:lpwstr>
  </property>
  <property fmtid="{D5CDD505-2E9C-101B-9397-08002B2CF9AE}" pid="3" name="KSOProductBuildVer">
    <vt:lpwstr>2052-12.1.0.28043</vt:lpwstr>
  </property>
  <property fmtid="{D5CDD505-2E9C-101B-9397-08002B2CF9AE}" pid="4" name="ICV">
    <vt:lpwstr>0E417ADFCCF34B1891CA8075F0015E88_12</vt:lpwstr>
  </property>
</Properties>
</file>